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31E" w:rsidRDefault="000B131E">
      <w:pPr>
        <w:pStyle w:val="ConsPlusNormal"/>
        <w:outlineLvl w:val="0"/>
      </w:pPr>
      <w:bookmarkStart w:id="0" w:name="_GoBack"/>
      <w:bookmarkEnd w:id="0"/>
    </w:p>
    <w:p w:rsidR="000B131E" w:rsidRDefault="000B131E">
      <w:pPr>
        <w:pStyle w:val="ConsPlusTitle"/>
        <w:jc w:val="center"/>
        <w:outlineLvl w:val="0"/>
      </w:pPr>
      <w:r>
        <w:t>МИНИСТЕРСТВО ФИНАНСОВ РОССИЙСКОЙ ФЕДЕРАЦИИ</w:t>
      </w:r>
    </w:p>
    <w:p w:rsidR="000B131E" w:rsidRDefault="000B131E">
      <w:pPr>
        <w:pStyle w:val="ConsPlusTitle"/>
        <w:jc w:val="center"/>
      </w:pPr>
    </w:p>
    <w:p w:rsidR="000B131E" w:rsidRDefault="000B131E">
      <w:pPr>
        <w:pStyle w:val="ConsPlusTitle"/>
        <w:jc w:val="center"/>
      </w:pPr>
      <w:r>
        <w:t>ФЕДЕРАЛЬНОЕ КАЗНАЧЕЙСТВО</w:t>
      </w:r>
    </w:p>
    <w:p w:rsidR="000B131E" w:rsidRDefault="000B131E">
      <w:pPr>
        <w:pStyle w:val="ConsPlusTitle"/>
        <w:jc w:val="center"/>
      </w:pPr>
    </w:p>
    <w:p w:rsidR="000B131E" w:rsidRDefault="000B131E">
      <w:pPr>
        <w:pStyle w:val="ConsPlusTitle"/>
        <w:jc w:val="center"/>
      </w:pPr>
      <w:r>
        <w:t>ПРИКАЗ</w:t>
      </w:r>
    </w:p>
    <w:p w:rsidR="000B131E" w:rsidRDefault="000B131E">
      <w:pPr>
        <w:pStyle w:val="ConsPlusTitle"/>
        <w:jc w:val="center"/>
      </w:pPr>
      <w:r>
        <w:t>от 30 декабря 2016 г. N 512</w:t>
      </w:r>
    </w:p>
    <w:p w:rsidR="000B131E" w:rsidRDefault="000B131E">
      <w:pPr>
        <w:pStyle w:val="ConsPlusTitle"/>
        <w:jc w:val="center"/>
      </w:pPr>
    </w:p>
    <w:p w:rsidR="000B131E" w:rsidRDefault="000B131E">
      <w:pPr>
        <w:pStyle w:val="ConsPlusTitle"/>
        <w:jc w:val="center"/>
      </w:pPr>
      <w:r>
        <w:t>ОБ УТВЕРЖДЕНИИ ПОРЯДКА МОНИТОРИНГА В ФЕДЕРАЛЬНОМ</w:t>
      </w:r>
    </w:p>
    <w:p w:rsidR="000B131E" w:rsidRDefault="000B131E">
      <w:pPr>
        <w:pStyle w:val="ConsPlusTitle"/>
        <w:jc w:val="center"/>
      </w:pPr>
      <w:r>
        <w:t>КАЗНАЧЕЙСТВЕ ИНФОРМАЦИИ, ПРЕДСТАВЛЯЕМОЙ В ПОДСИСТЕМУ</w:t>
      </w:r>
    </w:p>
    <w:p w:rsidR="000B131E" w:rsidRDefault="000B131E">
      <w:pPr>
        <w:pStyle w:val="ConsPlusTitle"/>
        <w:jc w:val="center"/>
      </w:pPr>
      <w:r>
        <w:t>"УЧЕТ И ОТЧЕТНОСТЬ" ГОСУДАРСТВЕННОЙ ИНТЕГРИРОВАННОЙ</w:t>
      </w:r>
    </w:p>
    <w:p w:rsidR="000B131E" w:rsidRDefault="000B131E">
      <w:pPr>
        <w:pStyle w:val="ConsPlusTitle"/>
        <w:jc w:val="center"/>
      </w:pPr>
      <w:r>
        <w:t>ИНФОРМАЦИОННОЙ СИСТЕМЫ УПРАВЛЕНИЯ ОБЩЕСТВЕННЫМИ</w:t>
      </w:r>
    </w:p>
    <w:p w:rsidR="000B131E" w:rsidRDefault="000B131E">
      <w:pPr>
        <w:pStyle w:val="ConsPlusTitle"/>
        <w:jc w:val="center"/>
      </w:pPr>
      <w:r>
        <w:t>ФИНАНСАМИ "ЭЛЕКТРОННЫЙ БЮДЖЕТ"</w:t>
      </w:r>
    </w:p>
    <w:p w:rsidR="000B131E" w:rsidRDefault="000B131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B131E">
        <w:trPr>
          <w:jc w:val="center"/>
        </w:trPr>
        <w:tc>
          <w:tcPr>
            <w:tcW w:w="9294" w:type="dxa"/>
            <w:tcBorders>
              <w:top w:val="nil"/>
              <w:left w:val="single" w:sz="24" w:space="0" w:color="CED3F1"/>
              <w:bottom w:val="nil"/>
              <w:right w:val="single" w:sz="24" w:space="0" w:color="F4F3F8"/>
            </w:tcBorders>
            <w:shd w:val="clear" w:color="auto" w:fill="F4F3F8"/>
          </w:tcPr>
          <w:p w:rsidR="000B131E" w:rsidRDefault="000B131E">
            <w:pPr>
              <w:pStyle w:val="ConsPlusNormal"/>
              <w:jc w:val="center"/>
            </w:pPr>
            <w:r>
              <w:rPr>
                <w:color w:val="392C69"/>
              </w:rPr>
              <w:t>Список изменяющих документов</w:t>
            </w:r>
          </w:p>
          <w:p w:rsidR="000B131E" w:rsidRDefault="000B131E">
            <w:pPr>
              <w:pStyle w:val="ConsPlusNormal"/>
              <w:jc w:val="center"/>
            </w:pPr>
            <w:r>
              <w:rPr>
                <w:color w:val="392C69"/>
              </w:rPr>
              <w:t xml:space="preserve">(в ред. Приказов Казначейства России от 10.07.2017 </w:t>
            </w:r>
            <w:hyperlink r:id="rId4" w:history="1">
              <w:r>
                <w:rPr>
                  <w:color w:val="0000FF"/>
                </w:rPr>
                <w:t>N 163</w:t>
              </w:r>
            </w:hyperlink>
            <w:r>
              <w:rPr>
                <w:color w:val="392C69"/>
              </w:rPr>
              <w:t>,</w:t>
            </w:r>
          </w:p>
          <w:p w:rsidR="000B131E" w:rsidRDefault="000B131E">
            <w:pPr>
              <w:pStyle w:val="ConsPlusNormal"/>
              <w:jc w:val="center"/>
            </w:pPr>
            <w:r>
              <w:rPr>
                <w:color w:val="392C69"/>
              </w:rPr>
              <w:t xml:space="preserve">от 27.10.2017 </w:t>
            </w:r>
            <w:hyperlink r:id="rId5" w:history="1">
              <w:r>
                <w:rPr>
                  <w:color w:val="0000FF"/>
                </w:rPr>
                <w:t>N 293</w:t>
              </w:r>
            </w:hyperlink>
            <w:r>
              <w:rPr>
                <w:color w:val="392C69"/>
              </w:rPr>
              <w:t>)</w:t>
            </w:r>
          </w:p>
        </w:tc>
      </w:tr>
    </w:tbl>
    <w:p w:rsidR="000B131E" w:rsidRDefault="000B131E">
      <w:pPr>
        <w:pStyle w:val="ConsPlusNormal"/>
        <w:jc w:val="center"/>
      </w:pPr>
    </w:p>
    <w:p w:rsidR="000B131E" w:rsidRDefault="000B131E">
      <w:pPr>
        <w:pStyle w:val="ConsPlusNormal"/>
        <w:ind w:firstLine="540"/>
        <w:jc w:val="both"/>
      </w:pPr>
      <w:r>
        <w:t xml:space="preserve">В целях реализации </w:t>
      </w:r>
      <w:hyperlink r:id="rId6" w:history="1">
        <w:r>
          <w:rPr>
            <w:color w:val="0000FF"/>
          </w:rPr>
          <w:t>раздела VII</w:t>
        </w:r>
      </w:hyperlink>
      <w: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2010 г. N 191н (зарегистрирован в Министерстве юстиции Российской Федерации 3 февраля 2011 г., регистрационный номер 19693; Российская газета, 2011, 5 марта) &lt;1&gt;, приказываю:</w:t>
      </w:r>
    </w:p>
    <w:p w:rsidR="000B131E" w:rsidRDefault="000B131E">
      <w:pPr>
        <w:pStyle w:val="ConsPlusNormal"/>
        <w:spacing w:before="220"/>
        <w:ind w:firstLine="540"/>
        <w:jc w:val="both"/>
      </w:pPr>
      <w:r>
        <w:t>--------------------------------</w:t>
      </w:r>
    </w:p>
    <w:p w:rsidR="000B131E" w:rsidRDefault="000B131E">
      <w:pPr>
        <w:pStyle w:val="ConsPlusNormal"/>
        <w:spacing w:before="220"/>
        <w:ind w:firstLine="540"/>
        <w:jc w:val="both"/>
      </w:pPr>
      <w:r>
        <w:t>&lt;1&gt; С изменениями, внесенными приказами Министерства финансов Российской Федерации от 29 декабря 2011 г. N 191н (зарегистрирован в Министерстве юстиции Российской Федерации 16 февраля 2012 г., регистрационный номер 23229; Российская газета, 2012, 23 марта), от 26 октября 2012 г. N 138н (зарегистрирован в Министерстве юстиции Российской Федерации 21 декабря 2012 г., регистрационный номер 26253; Бюллетень нормативных актов федеральных органов исполнительной власти, 2013, N 11), от 19 декабря 2014 г. N 157н (зарегистрирован в Министерстве юстиции Российской Федерации 4 февраля 2015 г., регистрационный номер 35856; официальный интернет-портал правовой информации http://www.pravo.gov.ru, 6 февраля 2015 г.), от 26 августа 2015 г. N 135н (зарегистрирован в Министерстве юстиции Российской Федерации 4 сентября 2015 г., регистрационный номер 38821; официальный интернет-портал правовой информации http://www.pravo.gov.ru, 8 сентября 2015 г.), от 31 декабря 2015 г. N 229н (зарегистрирован в Министерстве юстиции Российской Федерации 3 марта 2016 г., регистрационный номер 41312; официальный интернет-портал правовой информации http://www.pravo.gov.ru, 9 марта 2016 г.), от 16 ноября 2016 г. N 209н (зарегистрирован в Министерстве юстиции Российской Федерации 15 декабря 2016 г., регистрационный номер 44741; официальный интернет-портал правовой информации http://www.pravo.gov.ru, 19 декабря 2016 г.)</w:t>
      </w:r>
    </w:p>
    <w:p w:rsidR="000B131E" w:rsidRDefault="000B131E">
      <w:pPr>
        <w:pStyle w:val="ConsPlusNormal"/>
        <w:ind w:firstLine="540"/>
        <w:jc w:val="both"/>
      </w:pPr>
    </w:p>
    <w:p w:rsidR="000B131E" w:rsidRDefault="000B131E">
      <w:pPr>
        <w:pStyle w:val="ConsPlusNormal"/>
        <w:ind w:firstLine="540"/>
        <w:jc w:val="both"/>
      </w:pPr>
      <w:r>
        <w:t xml:space="preserve">1. Утвердить прилагаемый </w:t>
      </w:r>
      <w:hyperlink w:anchor="P37" w:history="1">
        <w:r>
          <w:rPr>
            <w:color w:val="0000FF"/>
          </w:rPr>
          <w:t>Порядок</w:t>
        </w:r>
      </w:hyperlink>
      <w:r>
        <w:t xml:space="preserve"> мониторинга в Федеральном казначействе информации, представляемой в подсистему "Учет и отчетность" государственной интегрированной информационной системы управления общественными финансами "Электронный бюджет".</w:t>
      </w:r>
    </w:p>
    <w:p w:rsidR="000B131E" w:rsidRDefault="000B131E">
      <w:pPr>
        <w:pStyle w:val="ConsPlusNormal"/>
        <w:spacing w:before="220"/>
        <w:ind w:firstLine="540"/>
        <w:jc w:val="both"/>
      </w:pPr>
      <w:r>
        <w:t xml:space="preserve">2. </w:t>
      </w:r>
      <w:hyperlink w:anchor="P37" w:history="1">
        <w:r>
          <w:rPr>
            <w:color w:val="0000FF"/>
          </w:rPr>
          <w:t>Порядок</w:t>
        </w:r>
      </w:hyperlink>
      <w:r>
        <w:t xml:space="preserve">, утвержденный настоящим приказом, применяется при мониторинге информации, представляемой в подсистему "Учет и отчетность" государственной интегрированной информационной системы управления общественными финансами "Электронный бюджет", начиная с представления годовой отчетности на 1 января 2017 года, за исключением </w:t>
      </w:r>
      <w:hyperlink w:anchor="P37" w:history="1">
        <w:r>
          <w:rPr>
            <w:color w:val="0000FF"/>
          </w:rPr>
          <w:t>абзаца седьмого пункта 2.5</w:t>
        </w:r>
      </w:hyperlink>
      <w:r>
        <w:t xml:space="preserve"> Порядка, утвержденного настоящим приказом, применяемого начиная с представления отчетности на 1 апреля 2018 года.</w:t>
      </w:r>
    </w:p>
    <w:p w:rsidR="000B131E" w:rsidRDefault="000B131E">
      <w:pPr>
        <w:pStyle w:val="ConsPlusNormal"/>
        <w:spacing w:before="220"/>
        <w:ind w:firstLine="540"/>
        <w:jc w:val="both"/>
      </w:pPr>
      <w:r>
        <w:lastRenderedPageBreak/>
        <w:t>3. Управлению финансовых технологий (В.В. Ткаченко) обеспечить доработку программного обеспечения в установленном порядке.</w:t>
      </w:r>
    </w:p>
    <w:p w:rsidR="000B131E" w:rsidRDefault="000B131E">
      <w:pPr>
        <w:pStyle w:val="ConsPlusNormal"/>
        <w:jc w:val="right"/>
      </w:pPr>
    </w:p>
    <w:p w:rsidR="000B131E" w:rsidRDefault="000B131E">
      <w:pPr>
        <w:pStyle w:val="ConsPlusNormal"/>
        <w:jc w:val="right"/>
      </w:pPr>
      <w:r>
        <w:t>Руководитель</w:t>
      </w:r>
    </w:p>
    <w:p w:rsidR="000B131E" w:rsidRDefault="000B131E">
      <w:pPr>
        <w:pStyle w:val="ConsPlusNormal"/>
        <w:jc w:val="right"/>
      </w:pPr>
      <w:r>
        <w:t>Р.Е.АРТЮХИН</w:t>
      </w: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outlineLvl w:val="0"/>
      </w:pPr>
      <w:r>
        <w:t>Утвержден</w:t>
      </w:r>
    </w:p>
    <w:p w:rsidR="000B131E" w:rsidRDefault="000B131E">
      <w:pPr>
        <w:pStyle w:val="ConsPlusNormal"/>
        <w:jc w:val="right"/>
      </w:pPr>
      <w:r>
        <w:t>приказом</w:t>
      </w:r>
    </w:p>
    <w:p w:rsidR="000B131E" w:rsidRDefault="000B131E">
      <w:pPr>
        <w:pStyle w:val="ConsPlusNormal"/>
        <w:jc w:val="right"/>
      </w:pPr>
      <w:r>
        <w:t>Федерального казначейства</w:t>
      </w:r>
    </w:p>
    <w:p w:rsidR="000B131E" w:rsidRDefault="000B131E">
      <w:pPr>
        <w:pStyle w:val="ConsPlusNormal"/>
        <w:jc w:val="right"/>
      </w:pPr>
      <w:r>
        <w:t>от 30 декабря 2016 г. N 512</w:t>
      </w:r>
    </w:p>
    <w:p w:rsidR="000B131E" w:rsidRDefault="000B131E">
      <w:pPr>
        <w:pStyle w:val="ConsPlusNormal"/>
        <w:jc w:val="right"/>
      </w:pPr>
    </w:p>
    <w:p w:rsidR="000B131E" w:rsidRDefault="000B131E">
      <w:pPr>
        <w:pStyle w:val="ConsPlusTitle"/>
        <w:jc w:val="center"/>
      </w:pPr>
      <w:bookmarkStart w:id="1" w:name="P37"/>
      <w:bookmarkEnd w:id="1"/>
      <w:r>
        <w:t>ПОРЯДОК</w:t>
      </w:r>
    </w:p>
    <w:p w:rsidR="000B131E" w:rsidRDefault="000B131E">
      <w:pPr>
        <w:pStyle w:val="ConsPlusTitle"/>
        <w:jc w:val="center"/>
      </w:pPr>
      <w:r>
        <w:t>МОНИТОРИНГА В ФЕДЕРАЛЬНОМ КАЗНАЧЕЙСТВЕ ИНФОРМАЦИИ,</w:t>
      </w:r>
    </w:p>
    <w:p w:rsidR="000B131E" w:rsidRDefault="000B131E">
      <w:pPr>
        <w:pStyle w:val="ConsPlusTitle"/>
        <w:jc w:val="center"/>
      </w:pPr>
      <w:r>
        <w:t>ПРЕДСТАВЛЯЕМОЙ В ПОДСИСТЕМУ "УЧЕТ И ОТЧЕТНОСТЬ"</w:t>
      </w:r>
    </w:p>
    <w:p w:rsidR="000B131E" w:rsidRDefault="000B131E">
      <w:pPr>
        <w:pStyle w:val="ConsPlusTitle"/>
        <w:jc w:val="center"/>
      </w:pPr>
      <w:r>
        <w:t>ГОСУДАРСТВЕННОЙ ИНТЕГРИРОВАННОЙ ИНФОРМАЦИОННОЙ СИСТЕМЫ</w:t>
      </w:r>
    </w:p>
    <w:p w:rsidR="000B131E" w:rsidRDefault="000B131E">
      <w:pPr>
        <w:pStyle w:val="ConsPlusTitle"/>
        <w:jc w:val="center"/>
      </w:pPr>
      <w:r>
        <w:t>УПРАВЛЕНИЯ ОБЩЕСТВЕННЫМИ ФИНАНСАМИ "ЭЛЕКТРОННЫЙ БЮДЖЕТ"</w:t>
      </w:r>
    </w:p>
    <w:p w:rsidR="000B131E" w:rsidRDefault="000B131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B131E">
        <w:trPr>
          <w:jc w:val="center"/>
        </w:trPr>
        <w:tc>
          <w:tcPr>
            <w:tcW w:w="9294" w:type="dxa"/>
            <w:tcBorders>
              <w:top w:val="nil"/>
              <w:left w:val="single" w:sz="24" w:space="0" w:color="CED3F1"/>
              <w:bottom w:val="nil"/>
              <w:right w:val="single" w:sz="24" w:space="0" w:color="F4F3F8"/>
            </w:tcBorders>
            <w:shd w:val="clear" w:color="auto" w:fill="F4F3F8"/>
          </w:tcPr>
          <w:p w:rsidR="000B131E" w:rsidRDefault="000B131E">
            <w:pPr>
              <w:pStyle w:val="ConsPlusNormal"/>
              <w:jc w:val="center"/>
            </w:pPr>
            <w:r>
              <w:rPr>
                <w:color w:val="392C69"/>
              </w:rPr>
              <w:t>Список изменяющих документов</w:t>
            </w:r>
          </w:p>
          <w:p w:rsidR="000B131E" w:rsidRDefault="000B131E">
            <w:pPr>
              <w:pStyle w:val="ConsPlusNormal"/>
              <w:jc w:val="center"/>
            </w:pPr>
            <w:r>
              <w:rPr>
                <w:color w:val="392C69"/>
              </w:rPr>
              <w:t xml:space="preserve">(в ред. </w:t>
            </w:r>
            <w:hyperlink r:id="rId7" w:history="1">
              <w:r>
                <w:rPr>
                  <w:color w:val="0000FF"/>
                </w:rPr>
                <w:t>Приказа</w:t>
              </w:r>
            </w:hyperlink>
            <w:r>
              <w:rPr>
                <w:color w:val="392C69"/>
              </w:rPr>
              <w:t xml:space="preserve"> Казначейства России от 27.10.2017 N 293)</w:t>
            </w:r>
          </w:p>
        </w:tc>
      </w:tr>
    </w:tbl>
    <w:p w:rsidR="000B131E" w:rsidRDefault="000B131E">
      <w:pPr>
        <w:pStyle w:val="ConsPlusNormal"/>
        <w:jc w:val="right"/>
      </w:pPr>
    </w:p>
    <w:p w:rsidR="000B131E" w:rsidRDefault="000B131E">
      <w:pPr>
        <w:pStyle w:val="ConsPlusNormal"/>
        <w:jc w:val="center"/>
        <w:outlineLvl w:val="1"/>
      </w:pPr>
      <w:r>
        <w:t>1. Общие положения</w:t>
      </w:r>
    </w:p>
    <w:p w:rsidR="000B131E" w:rsidRDefault="000B131E">
      <w:pPr>
        <w:pStyle w:val="ConsPlusNormal"/>
        <w:jc w:val="center"/>
      </w:pPr>
    </w:p>
    <w:p w:rsidR="000B131E" w:rsidRDefault="000B131E">
      <w:pPr>
        <w:pStyle w:val="ConsPlusNormal"/>
        <w:ind w:firstLine="540"/>
        <w:jc w:val="both"/>
      </w:pPr>
      <w:r>
        <w:t>1.1. Настоящий Порядок определяет требования к организации в Федеральном казначействе и территориальных органах Федерального казначейства (далее - ТОФК) мониторинга информации, представляемой в подсистему "Учет и отчетность" государственной интегрированной информационной системы управления общественными финансами "Электронный бюджет" (далее - Подсистема).</w:t>
      </w:r>
    </w:p>
    <w:p w:rsidR="000B131E" w:rsidRDefault="000B131E">
      <w:pPr>
        <w:pStyle w:val="ConsPlusNormal"/>
        <w:spacing w:before="220"/>
        <w:ind w:firstLine="540"/>
        <w:jc w:val="both"/>
      </w:pPr>
      <w:r>
        <w:t>1.2. ТОФК осуществляет мониторинг в отношении информации, предоставляемой в Подсистему получателями средств федерального бюджета, распорядителями средств федерального бюджета, администраторами доходов федерального бюджета, администраторами источников финансирования дефицита федерального бюджета, федеральными бюджетными и автономными учреждениями, в отношении которых функции и полномочия учредителя осуществляются главными распорядителями средств федерального бюджета, лицевые счета которым открыты в данном ТОФК (далее - субъект мониторинга).</w:t>
      </w:r>
    </w:p>
    <w:p w:rsidR="000B131E" w:rsidRDefault="000B131E">
      <w:pPr>
        <w:pStyle w:val="ConsPlusNormal"/>
        <w:spacing w:before="220"/>
        <w:ind w:firstLine="540"/>
        <w:jc w:val="both"/>
      </w:pPr>
      <w:r>
        <w:t>Управление централизованной бухгалтерии Федерального казначейства осуществляет координацию мониторинга в Федеральном казначействе информации, представляемой в Подсистему.</w:t>
      </w:r>
    </w:p>
    <w:p w:rsidR="000B131E" w:rsidRDefault="000B131E">
      <w:pPr>
        <w:pStyle w:val="ConsPlusNormal"/>
        <w:spacing w:before="220"/>
        <w:ind w:firstLine="540"/>
        <w:jc w:val="both"/>
      </w:pPr>
      <w:r>
        <w:t>1.3. Мониторинг осуществляется в части информации, представляемой в Подсистему субъектами мониторинга ежеквартально и ежегодно.</w:t>
      </w:r>
    </w:p>
    <w:p w:rsidR="000B131E" w:rsidRDefault="000B131E">
      <w:pPr>
        <w:pStyle w:val="ConsPlusNormal"/>
        <w:jc w:val="center"/>
      </w:pPr>
    </w:p>
    <w:p w:rsidR="000B131E" w:rsidRDefault="000B131E">
      <w:pPr>
        <w:pStyle w:val="ConsPlusNormal"/>
        <w:jc w:val="center"/>
        <w:outlineLvl w:val="1"/>
      </w:pPr>
      <w:r>
        <w:t>2. Требования к организации в ТОФК мониторинга информации,</w:t>
      </w:r>
    </w:p>
    <w:p w:rsidR="000B131E" w:rsidRDefault="000B131E">
      <w:pPr>
        <w:pStyle w:val="ConsPlusNormal"/>
        <w:jc w:val="center"/>
      </w:pPr>
      <w:r>
        <w:t>представляемой в Подсистему субъектами мониторинга</w:t>
      </w:r>
    </w:p>
    <w:p w:rsidR="000B131E" w:rsidRDefault="000B131E">
      <w:pPr>
        <w:pStyle w:val="ConsPlusNormal"/>
        <w:jc w:val="center"/>
      </w:pPr>
    </w:p>
    <w:p w:rsidR="000B131E" w:rsidRDefault="000B131E">
      <w:pPr>
        <w:pStyle w:val="ConsPlusNormal"/>
        <w:ind w:firstLine="540"/>
        <w:jc w:val="both"/>
      </w:pPr>
      <w:r>
        <w:t>2.1. Мониторинг информации, представляемой в Подсистему субъектами мониторинга, осуществляется Отделом централизованной бухгалтерии ТОФК и Отделом бюджетного учета и отчетности по операциям бюджетов ТОФК.</w:t>
      </w:r>
    </w:p>
    <w:p w:rsidR="000B131E" w:rsidRDefault="000B131E">
      <w:pPr>
        <w:pStyle w:val="ConsPlusNormal"/>
        <w:spacing w:before="220"/>
        <w:ind w:firstLine="540"/>
        <w:jc w:val="both"/>
      </w:pPr>
      <w:r>
        <w:lastRenderedPageBreak/>
        <w:t>Руководитель ТОФК определяет заместителя руководителя ТОФК, осуществляющего общую координацию работы по выполнению указанного мониторинга.</w:t>
      </w:r>
    </w:p>
    <w:p w:rsidR="000B131E" w:rsidRDefault="000B131E">
      <w:pPr>
        <w:pStyle w:val="ConsPlusNormal"/>
        <w:spacing w:before="220"/>
        <w:ind w:firstLine="540"/>
        <w:jc w:val="both"/>
      </w:pPr>
      <w:r>
        <w:t>Руководитель ТОФК осуществляет распределение между Отделом централизованной бухгалтерии ТОФК и Отделом бюджетного учета и отчетности по операциям бюджетов ТОФК действий и процедур, осуществляемых в ходе указанного мониторинга.</w:t>
      </w:r>
    </w:p>
    <w:p w:rsidR="000B131E" w:rsidRDefault="000B131E">
      <w:pPr>
        <w:pStyle w:val="ConsPlusNormal"/>
        <w:spacing w:before="220"/>
        <w:ind w:firstLine="540"/>
        <w:jc w:val="both"/>
      </w:pPr>
      <w:r>
        <w:t>2.2. В ходе мониторинга информации, представляемой в Подсистему субъектами мониторинга, осуществляется:</w:t>
      </w:r>
    </w:p>
    <w:p w:rsidR="000B131E" w:rsidRDefault="000B131E">
      <w:pPr>
        <w:pStyle w:val="ConsPlusNormal"/>
        <w:spacing w:before="220"/>
        <w:ind w:firstLine="540"/>
        <w:jc w:val="both"/>
      </w:pPr>
      <w:r>
        <w:t>анализ полноты и своевременности представления бюджетной (бухгалтерской) отчетности (далее - Отчетность);</w:t>
      </w:r>
    </w:p>
    <w:p w:rsidR="000B131E" w:rsidRDefault="000B131E">
      <w:pPr>
        <w:pStyle w:val="ConsPlusNormal"/>
        <w:spacing w:before="220"/>
        <w:ind w:firstLine="540"/>
        <w:jc w:val="both"/>
      </w:pPr>
      <w:r>
        <w:t>сбор, обобщение и анализ информации о показателях представленной Отчетности.</w:t>
      </w:r>
    </w:p>
    <w:p w:rsidR="000B131E" w:rsidRDefault="000B131E">
      <w:pPr>
        <w:pStyle w:val="ConsPlusNormal"/>
        <w:spacing w:before="220"/>
        <w:ind w:firstLine="540"/>
        <w:jc w:val="both"/>
      </w:pPr>
      <w:r>
        <w:t>2.3. В ходе анализа полноты и своевременности представления Отчетности устанавливается:</w:t>
      </w:r>
    </w:p>
    <w:p w:rsidR="000B131E" w:rsidRDefault="000B131E">
      <w:pPr>
        <w:pStyle w:val="ConsPlusNormal"/>
        <w:spacing w:before="220"/>
        <w:ind w:firstLine="540"/>
        <w:jc w:val="both"/>
      </w:pPr>
      <w:r>
        <w:t>соответствие реквизитов справочника субъектов отчетности, используемого в Подсистеме (далее - Справочник), данным Реестра участников и неучастников бюджетного процесса (далее - Реестр), соответствие состава субъектов мониторинга данным Справочника;</w:t>
      </w:r>
    </w:p>
    <w:p w:rsidR="000B131E" w:rsidRDefault="000B131E">
      <w:pPr>
        <w:pStyle w:val="ConsPlusNormal"/>
        <w:spacing w:before="220"/>
        <w:ind w:firstLine="540"/>
        <w:jc w:val="both"/>
      </w:pPr>
      <w:r>
        <w:t>соответствие состава представленной Отчетности в Подсистему нормативным правовым актам и методическим документам Министерства финансов Российской Федерации;</w:t>
      </w:r>
    </w:p>
    <w:p w:rsidR="000B131E" w:rsidRDefault="000B131E">
      <w:pPr>
        <w:pStyle w:val="ConsPlusNormal"/>
        <w:spacing w:before="220"/>
        <w:ind w:firstLine="540"/>
        <w:jc w:val="both"/>
      </w:pPr>
      <w:r>
        <w:t>соблюдение субъектами мониторинга сроков представления Отчетности в Подсистему, установленных:</w:t>
      </w:r>
    </w:p>
    <w:p w:rsidR="000B131E" w:rsidRDefault="000B131E">
      <w:pPr>
        <w:pStyle w:val="ConsPlusNormal"/>
        <w:spacing w:before="220"/>
        <w:ind w:firstLine="540"/>
        <w:jc w:val="both"/>
      </w:pPr>
      <w:r>
        <w:t xml:space="preserve">а) </w:t>
      </w:r>
      <w:hyperlink r:id="rId8" w:history="1">
        <w:r>
          <w:rPr>
            <w:color w:val="0000FF"/>
          </w:rPr>
          <w:t>пунктами 288</w:t>
        </w:r>
      </w:hyperlink>
      <w:r>
        <w:t xml:space="preserve"> и </w:t>
      </w:r>
      <w:hyperlink r:id="rId9" w:history="1">
        <w:r>
          <w:rPr>
            <w:color w:val="0000FF"/>
          </w:rPr>
          <w:t>289</w:t>
        </w:r>
      </w:hyperlink>
      <w: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2010 г. N 191н (зарегистрирован в Министерстве юстиции Российской Федерации 3 февраля 2011 г., регистрационный номер 19693; Российская газета, 2011, 5 марта) (далее - Инструкция N 191н) </w:t>
      </w:r>
      <w:hyperlink w:anchor="P70" w:history="1">
        <w:r>
          <w:rPr>
            <w:color w:val="0000FF"/>
          </w:rPr>
          <w:t>&lt;1&gt;</w:t>
        </w:r>
      </w:hyperlink>
      <w:r>
        <w:t>;</w:t>
      </w:r>
    </w:p>
    <w:p w:rsidR="000B131E" w:rsidRDefault="000B131E">
      <w:pPr>
        <w:pStyle w:val="ConsPlusNormal"/>
        <w:spacing w:before="220"/>
        <w:ind w:firstLine="540"/>
        <w:jc w:val="both"/>
      </w:pPr>
      <w:r>
        <w:t xml:space="preserve">б) </w:t>
      </w:r>
      <w:hyperlink r:id="rId10" w:history="1">
        <w:r>
          <w:rPr>
            <w:color w:val="0000FF"/>
          </w:rPr>
          <w:t>подпунктом 8.1</w:t>
        </w:r>
      </w:hyperlink>
      <w:r>
        <w:t xml:space="preserve">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 марта 2011 г. N 33н (зарегистрирован в Министерстве юстиции Российской Федерации 22 апреля 2011 г., регистрационный номер 20558; Российская газета, 2011, 4 мая) (далее - Инструкция N 33н) </w:t>
      </w:r>
      <w:hyperlink w:anchor="P71" w:history="1">
        <w:r>
          <w:rPr>
            <w:color w:val="0000FF"/>
          </w:rPr>
          <w:t>&lt;2&gt;</w:t>
        </w:r>
      </w:hyperlink>
      <w:r>
        <w:t>;</w:t>
      </w:r>
    </w:p>
    <w:p w:rsidR="000B131E" w:rsidRDefault="000B131E">
      <w:pPr>
        <w:pStyle w:val="ConsPlusNormal"/>
        <w:spacing w:before="220"/>
        <w:ind w:firstLine="540"/>
        <w:jc w:val="both"/>
      </w:pPr>
      <w:r>
        <w:t>в) приказом Федерального казначейства о сроках представления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(далее - главные администраторы средств федерального бюджета) в Межрегиональное операционное управление Федерального казначейства (далее - МОУ ФК) сводной месячной, квартальной и годовой бюджетной Отчетности, сводной квартальной и годовой бухгалтерской Отчетности федеральных бюджетных и автономных учреждений в очередном финансовом году;</w:t>
      </w:r>
    </w:p>
    <w:p w:rsidR="000B131E" w:rsidRDefault="000B131E">
      <w:pPr>
        <w:pStyle w:val="ConsPlusNormal"/>
        <w:spacing w:before="220"/>
        <w:ind w:firstLine="540"/>
        <w:jc w:val="both"/>
      </w:pPr>
      <w:r>
        <w:t>г) нормативными правовыми актами главных администраторов средств федерального бюджета (при наличии).</w:t>
      </w:r>
    </w:p>
    <w:p w:rsidR="000B131E" w:rsidRDefault="000B131E">
      <w:pPr>
        <w:pStyle w:val="ConsPlusNormal"/>
        <w:spacing w:before="220"/>
        <w:ind w:firstLine="540"/>
        <w:jc w:val="both"/>
      </w:pPr>
      <w:r>
        <w:t>--------------------------------</w:t>
      </w:r>
    </w:p>
    <w:p w:rsidR="000B131E" w:rsidRDefault="000B131E">
      <w:pPr>
        <w:pStyle w:val="ConsPlusNormal"/>
        <w:spacing w:before="220"/>
        <w:ind w:firstLine="540"/>
        <w:jc w:val="both"/>
      </w:pPr>
      <w:bookmarkStart w:id="2" w:name="P70"/>
      <w:bookmarkEnd w:id="2"/>
      <w:r>
        <w:t xml:space="preserve">&lt;1&gt; С изменениями, внесенными приказами Министерства финансов Российской Федерации от 29 декабря 2011 г. N 191н (зарегистрирован в Министерстве юстиции Российской Федерации 16 февраля 2012 г., регистрационный номер 23229; Российская газета, 2012, 23 марта), от 26 октября 2012 г. N 138н (зарегистрирован в Министерстве юстиции Российской Федерации 21 декабря 2012 </w:t>
      </w:r>
      <w:r>
        <w:lastRenderedPageBreak/>
        <w:t>г., регистрационный номер 26253; Бюллетень нормативных актов федеральных органов исполнительной власти, 2013, N 11), от 19 декабря 2014 г. N 157н (зарегистрирован в Министерстве юстиции Российской Федерации 4 февраля 2015 г., регистрационный номер 35856; Официальный интернет-портал правовой информации http://www.pravo.gov.ru, 6 февраля 2015 г.), от 26 августа 2015 г. N 135н (зарегистрирован в Министерстве юстиции Российской Федерации 4 сентября 2015 г., регистрационный номер 38821; официальный интернет-портал правовой информации http://www.pravo.gov.ru, 8 сентября 2015 г.), от 31 декабря 2015 г. N 229н (зарегистрирован в Министерстве юстиции Российской Федерации 3 марта 2016 г., регистрационный номер 41312; Официальный интернет-портал правовой информации http://www.pravo.gov.ru, 9 марта 2016 г.), от 16 ноября 2016 г. N 209н (зарегистрирован в Министерстве юстиции Российской Федерации 15 декабря 2016 г., регистрационный номер 44741; Официальный интернет-портал правовой информации http://www.pravo.gov.ru, 19 декабря 2016 г.).</w:t>
      </w:r>
    </w:p>
    <w:p w:rsidR="000B131E" w:rsidRDefault="000B131E">
      <w:pPr>
        <w:pStyle w:val="ConsPlusNormal"/>
        <w:spacing w:before="220"/>
        <w:ind w:firstLine="540"/>
        <w:jc w:val="both"/>
      </w:pPr>
      <w:bookmarkStart w:id="3" w:name="P71"/>
      <w:bookmarkEnd w:id="3"/>
      <w:r>
        <w:t>&lt;2&gt; С изменениями, внесенными приказами Министерства финансов Российской Федерации от 26 октября 2012 г. N 139н (зарегистрирован в Министерстве юстиции Российской Федерации 19 декабря 2012 г., регистрационный номер 26195; Российская газета, 2012, 26 декабря), от 29 декабря 2014 г. N 172н (зарегистрировано в Министерстве юстиции Российской Федерации 4 февраля 2015 г., регистрационный номер 35854; Официальный интернет-портал правовой информации http://www.pravo.gov.ru, 5 февраля 2015 г.), от 20 марта 2015 г. N 43н (зарегистрирован в Министерстве юстиции Российской Федерации 1 апреля 2015 г., регистрационный номер 36668; Официальный интернет-портал правовой информации http://www.pravo.gov.ru, 3 апреля 2015 г.), от 17 декабря 2015 г. N 199н (зарегистрирован в Министерстве юстиции Российской Федерации 28 января 2016 г., регистрационный номер 40889; Официальный интернет-портал правовой информации http://www.pravo.gov.ru, 3 февраля 2016 г.), от 16 ноября 2016 г. N 209н (зарегистрирован в Министерстве юстиции Российской Федерации 15 декабря 2016 г., регистрационный номер 44741; Официальный интернет-портал правовой информации http://www.pravo.gov.ru, 19 декабря 2016 г.).</w:t>
      </w:r>
    </w:p>
    <w:p w:rsidR="000B131E" w:rsidRDefault="000B131E">
      <w:pPr>
        <w:pStyle w:val="ConsPlusNormal"/>
        <w:ind w:firstLine="540"/>
        <w:jc w:val="both"/>
      </w:pPr>
    </w:p>
    <w:p w:rsidR="000B131E" w:rsidRDefault="000B131E">
      <w:pPr>
        <w:pStyle w:val="ConsPlusNormal"/>
        <w:ind w:firstLine="540"/>
        <w:jc w:val="both"/>
      </w:pPr>
      <w:r>
        <w:t>2.3.1. Соответствие реквизитов Справочника данным Реестра устанавливается не позднее 10 дней до срока представления Отчетности и по мере необходимости при изменении данных Реестра или состава субъектов мониторинга.</w:t>
      </w:r>
    </w:p>
    <w:p w:rsidR="000B131E" w:rsidRDefault="000B131E">
      <w:pPr>
        <w:pStyle w:val="ConsPlusNormal"/>
        <w:spacing w:before="220"/>
        <w:ind w:firstLine="540"/>
        <w:jc w:val="both"/>
      </w:pPr>
      <w:r>
        <w:t>Соответствие состава субъектов мониторинга Справочнику осуществляется путем сверки Справочника с перечнем субъектов мониторинга, представивших информацию в Подсистему по состоянию на день, следующий за днем представления Отчетности, установленным соответствующим главным администратором средств федерального бюджета для формирования и представления субъектами мониторинга Отчетности в Подсистему.</w:t>
      </w:r>
    </w:p>
    <w:p w:rsidR="000B131E" w:rsidRDefault="000B131E">
      <w:pPr>
        <w:pStyle w:val="ConsPlusNormal"/>
        <w:spacing w:before="220"/>
        <w:ind w:firstLine="540"/>
        <w:jc w:val="both"/>
      </w:pPr>
      <w:r>
        <w:t>В случае выявления фактов несоответствия устанавливается причина несоответствия или непредставления Отчетности в Подсистему. Выявленные несоответствия направляются в виде произвольного документа на адреса электронной почты Управления бюджетного учета и отчетности и Управления централизованной бухгалтерии.</w:t>
      </w:r>
    </w:p>
    <w:p w:rsidR="000B131E" w:rsidRDefault="000B131E">
      <w:pPr>
        <w:pStyle w:val="ConsPlusNormal"/>
        <w:spacing w:before="220"/>
        <w:ind w:firstLine="540"/>
        <w:jc w:val="both"/>
      </w:pPr>
      <w:r>
        <w:t>2.3.2. Соответствие состава представленной Отчетности в Подсистему нормативным правовым актам и методическим документам Министерства финансов Российской Федерации определяется по состоянию на день, следующий за днем представления Отчетности в установленные сроки для формирования и представления субъектами мониторинга Отчетности в Подсистему.</w:t>
      </w:r>
    </w:p>
    <w:p w:rsidR="000B131E" w:rsidRDefault="000B131E">
      <w:pPr>
        <w:pStyle w:val="ConsPlusNormal"/>
        <w:spacing w:before="220"/>
        <w:ind w:firstLine="540"/>
        <w:jc w:val="both"/>
      </w:pPr>
      <w:r>
        <w:t xml:space="preserve">В случае выявления фактов несоответствия устанавливается причина непредставления Отчетности в Подсистему с учетом положений </w:t>
      </w:r>
      <w:hyperlink r:id="rId11" w:history="1">
        <w:r>
          <w:rPr>
            <w:color w:val="0000FF"/>
          </w:rPr>
          <w:t>пункта 8</w:t>
        </w:r>
      </w:hyperlink>
      <w:r>
        <w:t xml:space="preserve"> Инструкции N 191н, </w:t>
      </w:r>
      <w:hyperlink r:id="rId12" w:history="1">
        <w:r>
          <w:rPr>
            <w:color w:val="0000FF"/>
          </w:rPr>
          <w:t>пункта 10</w:t>
        </w:r>
      </w:hyperlink>
      <w:r>
        <w:t xml:space="preserve"> Инструкции N 33н.</w:t>
      </w:r>
    </w:p>
    <w:p w:rsidR="000B131E" w:rsidRDefault="000B131E">
      <w:pPr>
        <w:pStyle w:val="ConsPlusNormal"/>
        <w:spacing w:before="220"/>
        <w:ind w:firstLine="540"/>
        <w:jc w:val="both"/>
      </w:pPr>
      <w:r>
        <w:t xml:space="preserve">2.3.3. Соблюдение субъектами мониторинга сроков представления Отчетности в Подсистему осуществляется по состоянию на день, следующий за днем, установленным для формирования и </w:t>
      </w:r>
      <w:r>
        <w:lastRenderedPageBreak/>
        <w:t>представления субъектами мониторинга Отчетности в Подсистему.</w:t>
      </w:r>
    </w:p>
    <w:p w:rsidR="000B131E" w:rsidRDefault="000B131E">
      <w:pPr>
        <w:pStyle w:val="ConsPlusNormal"/>
        <w:spacing w:before="220"/>
        <w:ind w:firstLine="540"/>
        <w:jc w:val="both"/>
      </w:pPr>
      <w:r>
        <w:t>При этом фактическим сроком представления Отчетности считается наиболее поздняя дата формирования в Подсистеме субъектом мониторинга статуса "Представлен" для любой отчетной формы из состава представляемой Отчетности.</w:t>
      </w:r>
    </w:p>
    <w:p w:rsidR="000B131E" w:rsidRDefault="000B131E">
      <w:pPr>
        <w:pStyle w:val="ConsPlusNormal"/>
        <w:spacing w:before="220"/>
        <w:ind w:firstLine="540"/>
        <w:jc w:val="both"/>
      </w:pPr>
      <w:r>
        <w:t>2.4. Сбор, обобщение и анализ информации о показателях квартальной и ежегодной Отчетности осуществляется один раз в срок не позднее двух рабочих дней со дня представления Отчетности главным администратором средств федерального бюджета в МОУ ФК.</w:t>
      </w:r>
    </w:p>
    <w:p w:rsidR="000B131E" w:rsidRDefault="000B131E">
      <w:pPr>
        <w:pStyle w:val="ConsPlusNormal"/>
        <w:spacing w:before="220"/>
        <w:ind w:firstLine="540"/>
        <w:jc w:val="both"/>
      </w:pPr>
      <w:r>
        <w:t>Днем представления Отчетности главным администратором средств федерального бюджета в МОУ ФК является наиболее поздняя дата представления Отчетности соответствующего отчетного периода, установленная приказом Федерального казначейства о сроках представления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в Межрегиональное операционное управление Федерального казначейства сводной месячной, квартальной и годовой бюджетной Отчетности, сводной квартальной и годовой бухгалтерской Отчетности федеральных бюджетных и автономных учреждений в очередном финансовом году (далее - день представления Отчетности главным администратором средств федерального бюджета в МОУ ФК).</w:t>
      </w:r>
    </w:p>
    <w:p w:rsidR="000B131E" w:rsidRDefault="000B131E">
      <w:pPr>
        <w:pStyle w:val="ConsPlusNormal"/>
        <w:spacing w:before="220"/>
        <w:ind w:firstLine="540"/>
        <w:jc w:val="both"/>
      </w:pPr>
      <w:r>
        <w:t>Сбор, обобщение и анализ информации о показателях Отчетности осуществляется в следующем порядке:</w:t>
      </w:r>
    </w:p>
    <w:p w:rsidR="000B131E" w:rsidRDefault="000B131E">
      <w:pPr>
        <w:pStyle w:val="ConsPlusNormal"/>
        <w:spacing w:before="220"/>
        <w:ind w:firstLine="540"/>
        <w:jc w:val="both"/>
      </w:pPr>
      <w:r>
        <w:t>представленной Отчетности - после завершения субъектом мониторинга всех установленных в Подсистеме технологических процедур, по состоянию на наиболее позднюю дату формирования в Подсистеме субъектом мониторинга статуса "Принят" или "Принят условно" для любой отчетной формы из состава представляемой Отчетности;</w:t>
      </w:r>
    </w:p>
    <w:p w:rsidR="000B131E" w:rsidRDefault="000B131E">
      <w:pPr>
        <w:pStyle w:val="ConsPlusNormal"/>
        <w:spacing w:before="220"/>
        <w:ind w:firstLine="540"/>
        <w:jc w:val="both"/>
      </w:pPr>
      <w:r>
        <w:t>в случае, если Отчетность не находится в статусе "представлен" - в любом статусе для любой отчетной формы из состава представляемой Отчетности.</w:t>
      </w:r>
    </w:p>
    <w:p w:rsidR="000B131E" w:rsidRDefault="000B131E">
      <w:pPr>
        <w:pStyle w:val="ConsPlusNormal"/>
        <w:spacing w:before="220"/>
        <w:ind w:firstLine="540"/>
        <w:jc w:val="both"/>
      </w:pPr>
      <w:r>
        <w:t>2.5. В ходе сбора, обобщения и анализа информации о показателях представленной Отчетности обеспечивается получение информации о:</w:t>
      </w:r>
    </w:p>
    <w:p w:rsidR="000B131E" w:rsidRDefault="000B131E">
      <w:pPr>
        <w:pStyle w:val="ConsPlusNormal"/>
        <w:spacing w:before="220"/>
        <w:ind w:firstLine="540"/>
        <w:jc w:val="both"/>
      </w:pPr>
      <w:r>
        <w:t>наличии арифметических и логических ошибок в показателях Отчетности;</w:t>
      </w:r>
    </w:p>
    <w:p w:rsidR="000B131E" w:rsidRDefault="000B131E">
      <w:pPr>
        <w:pStyle w:val="ConsPlusNormal"/>
        <w:spacing w:before="220"/>
        <w:ind w:firstLine="540"/>
        <w:jc w:val="both"/>
      </w:pPr>
      <w:r>
        <w:t>соответствии показателей Отчетности данным классификаторов и справочников, используемых в Подсистеме;</w:t>
      </w:r>
    </w:p>
    <w:p w:rsidR="000B131E" w:rsidRDefault="000B131E">
      <w:pPr>
        <w:pStyle w:val="ConsPlusNormal"/>
        <w:spacing w:before="220"/>
        <w:ind w:firstLine="540"/>
        <w:jc w:val="both"/>
      </w:pPr>
      <w:r>
        <w:t>выполнении субъектом мониторинга обязательных требований по раскрытию информации в составе пояснительной записки к Отчетности;</w:t>
      </w:r>
    </w:p>
    <w:p w:rsidR="000B131E" w:rsidRDefault="000B131E">
      <w:pPr>
        <w:pStyle w:val="ConsPlusNormal"/>
        <w:spacing w:before="220"/>
        <w:ind w:firstLine="540"/>
        <w:jc w:val="both"/>
      </w:pPr>
      <w:r>
        <w:t>соответствии показателей Отчетности субъектов мониторинга показателям кассового исполнения федерального бюджета, а также показателям утвержденных и (или) доведенных бюджетных данных, отраженным на лицевых счетах субъектов мониторинга, открытых в соответствующем ТОФК;</w:t>
      </w:r>
    </w:p>
    <w:p w:rsidR="000B131E" w:rsidRDefault="000B131E">
      <w:pPr>
        <w:pStyle w:val="ConsPlusNormal"/>
        <w:spacing w:before="220"/>
        <w:ind w:firstLine="540"/>
        <w:jc w:val="both"/>
      </w:pPr>
      <w:r>
        <w:t>соответствии показателей остатков денежных средств федеральных бюджетных и автономных учреждений, отраженных в соответствующей Отчетности, показателям, отраженным на лицевых счетах субъектов мониторинга, открытых в соответствующем ТОФК;</w:t>
      </w:r>
    </w:p>
    <w:p w:rsidR="000B131E" w:rsidRDefault="000B131E">
      <w:pPr>
        <w:pStyle w:val="ConsPlusNormal"/>
        <w:spacing w:before="220"/>
        <w:ind w:firstLine="540"/>
        <w:jc w:val="both"/>
      </w:pPr>
      <w:r>
        <w:t>соответствии показателей Отчетности субъектов мониторинга показателям бюджетных и денежных обязательств, учтенных соответствующим ТОФК;</w:t>
      </w:r>
    </w:p>
    <w:p w:rsidR="000B131E" w:rsidRDefault="000B131E">
      <w:pPr>
        <w:pStyle w:val="ConsPlusNormal"/>
        <w:spacing w:before="220"/>
        <w:ind w:firstLine="540"/>
        <w:jc w:val="both"/>
      </w:pPr>
      <w:r>
        <w:t xml:space="preserve">соответствии показателей остатков денежных средств получателей бюджетных средств, </w:t>
      </w:r>
      <w:r>
        <w:lastRenderedPageBreak/>
        <w:t>полученных во временное распоряжение, отраженных в соответствующей Отчетности, показателям, отраженным на лицевых счетах субъектов мониторинга, открытых в соответствующем ТОФК.</w:t>
      </w:r>
    </w:p>
    <w:p w:rsidR="000B131E" w:rsidRDefault="000B131E">
      <w:pPr>
        <w:pStyle w:val="ConsPlusNormal"/>
        <w:spacing w:before="220"/>
        <w:ind w:firstLine="540"/>
        <w:jc w:val="both"/>
      </w:pPr>
      <w:r>
        <w:t>2.5.1. Наличие арифметических и логических ошибок в показателях Отчетности, представленной субъектами мониторинга в Подсистему, определяется на основании данных протоколов внутридокументного, междокументного и внешнего контроля, сформированных Подсистемой в автоматизированном режиме.</w:t>
      </w:r>
    </w:p>
    <w:p w:rsidR="000B131E" w:rsidRDefault="000B131E">
      <w:pPr>
        <w:pStyle w:val="ConsPlusNormal"/>
        <w:spacing w:before="220"/>
        <w:ind w:firstLine="540"/>
        <w:jc w:val="both"/>
      </w:pPr>
      <w:r>
        <w:t>Перечень арифметических и логических ошибок сопоставляется с информацией, раскрываемой в пояснительной записке к Отчетности.</w:t>
      </w:r>
    </w:p>
    <w:p w:rsidR="000B131E" w:rsidRDefault="000B131E">
      <w:pPr>
        <w:pStyle w:val="ConsPlusNormal"/>
        <w:spacing w:before="220"/>
        <w:ind w:firstLine="540"/>
        <w:jc w:val="both"/>
      </w:pPr>
      <w:r>
        <w:t>2.5.2. Соответствие показателей Отчетности данным классификаторов и справочников, используемых в Подсистеме, определяется на основании данных протоколов форматного, внутридокументного контроля, сформированных Подсистемой в автоматизированном режиме.</w:t>
      </w:r>
    </w:p>
    <w:p w:rsidR="000B131E" w:rsidRDefault="000B131E">
      <w:pPr>
        <w:pStyle w:val="ConsPlusNormal"/>
        <w:spacing w:before="220"/>
        <w:ind w:firstLine="540"/>
        <w:jc w:val="both"/>
      </w:pPr>
      <w:r>
        <w:t>При выявлении несоответствия показателей Отчетности данным классификаторов и справочников, используемых в Подсистеме, осуществляется доведение в течение одного рабочего дня указанной информации до субъекта отчетности.</w:t>
      </w:r>
    </w:p>
    <w:p w:rsidR="000B131E" w:rsidRDefault="000B131E">
      <w:pPr>
        <w:pStyle w:val="ConsPlusNormal"/>
        <w:spacing w:before="220"/>
        <w:ind w:firstLine="540"/>
        <w:jc w:val="both"/>
      </w:pPr>
      <w:r>
        <w:t>2.5.3. Выполнение субъектом мониторинга обязательных требований по раскрытию информации в составе пояснительной записки к Отчетности определяется путем анализа содержания пояснительной записки к Отчетности и сопоставления ее содержания с обязательными требованиями по раскрытию информации, установленными нормативными и методическим документами Министерства финансов Российской Федерации и Федерального казначейства.</w:t>
      </w:r>
    </w:p>
    <w:p w:rsidR="000B131E" w:rsidRDefault="000B131E">
      <w:pPr>
        <w:pStyle w:val="ConsPlusNormal"/>
        <w:spacing w:before="220"/>
        <w:ind w:firstLine="540"/>
        <w:jc w:val="both"/>
      </w:pPr>
      <w:r>
        <w:t>2.5.4. Соответствие показателей Отчетности субъектов мониторинга показателям кассового исполнения федерального бюджета, а также показателям утвержденных и (или) доведенных бюджетных данных и иным показателям, отраженных на лицевых счетах субъектов мониторинга, определяется путем анализа соответствующих показателей Отчетности субъектов мониторинга и показателей бюджетной отчетности ТОФК, сформированных в автоматизированном режиме.</w:t>
      </w:r>
    </w:p>
    <w:p w:rsidR="000B131E" w:rsidRDefault="000B131E">
      <w:pPr>
        <w:pStyle w:val="ConsPlusNormal"/>
        <w:spacing w:before="220"/>
        <w:ind w:firstLine="540"/>
        <w:jc w:val="both"/>
      </w:pPr>
      <w:r>
        <w:t>2.5.5. Соответствие показателей Отчетности субъектов мониторинга показателям бюджетных и денежных обязательств, учтенных соответствующим ТОФК, определяется путем анализа информации о соответствующих показателях Отчетности субъектов мониторинга ТОФК и показателей, учтенных ТОФК, сформированных в автоматизированном режиме.</w:t>
      </w:r>
    </w:p>
    <w:p w:rsidR="000B131E" w:rsidRDefault="000B131E">
      <w:pPr>
        <w:pStyle w:val="ConsPlusNormal"/>
        <w:spacing w:before="220"/>
        <w:ind w:firstLine="540"/>
        <w:jc w:val="both"/>
      </w:pPr>
      <w:r>
        <w:t xml:space="preserve">2.6. По результатам анализа полноты и своевременности представления Отчетности и сбора, обобщения и анализа показателей представленной Отчетности формируются </w:t>
      </w:r>
      <w:hyperlink w:anchor="P188" w:history="1">
        <w:r>
          <w:rPr>
            <w:color w:val="0000FF"/>
          </w:rPr>
          <w:t>Сведения</w:t>
        </w:r>
      </w:hyperlink>
      <w:r>
        <w:t xml:space="preserve"> о результатах мониторинга информации, представляемой в подсистему "Учет и отчетность" государственной интегрированной информационной системы управления общественными финансами "Электронный бюджет" с типом "по ТОФК" (далее - Сведения) (Приложение к настоящему порядку).</w:t>
      </w:r>
    </w:p>
    <w:p w:rsidR="000B131E" w:rsidRDefault="000B131E">
      <w:pPr>
        <w:pStyle w:val="ConsPlusNormal"/>
        <w:spacing w:before="220"/>
        <w:ind w:firstLine="540"/>
        <w:jc w:val="both"/>
      </w:pPr>
      <w:r>
        <w:t>Формирование Сведений осуществляется в Подсистеме.</w:t>
      </w:r>
    </w:p>
    <w:p w:rsidR="000B131E" w:rsidRDefault="000B131E">
      <w:pPr>
        <w:pStyle w:val="ConsPlusNormal"/>
        <w:spacing w:before="220"/>
        <w:ind w:firstLine="540"/>
        <w:jc w:val="both"/>
      </w:pPr>
      <w:r>
        <w:t>2.6.1. Показатели Сведений формируются в следующем порядке.</w:t>
      </w:r>
    </w:p>
    <w:p w:rsidR="000B131E" w:rsidRDefault="000B131E">
      <w:pPr>
        <w:pStyle w:val="ConsPlusNormal"/>
        <w:spacing w:before="220"/>
        <w:ind w:firstLine="540"/>
        <w:jc w:val="both"/>
      </w:pPr>
      <w:r>
        <w:t xml:space="preserve">В </w:t>
      </w:r>
      <w:hyperlink w:anchor="P202" w:history="1">
        <w:r>
          <w:rPr>
            <w:color w:val="0000FF"/>
          </w:rPr>
          <w:t>разделе 1</w:t>
        </w:r>
      </w:hyperlink>
      <w:r>
        <w:t xml:space="preserve"> Сведений подлежит раскрытию общая информация о результатах мониторинга ТОФК Отчетности, представляемой в Подсистему субъектами мониторинга.</w:t>
      </w:r>
    </w:p>
    <w:p w:rsidR="000B131E" w:rsidRDefault="000B131E">
      <w:pPr>
        <w:pStyle w:val="ConsPlusNormal"/>
        <w:spacing w:before="220"/>
        <w:ind w:firstLine="540"/>
        <w:jc w:val="both"/>
      </w:pPr>
      <w:r>
        <w:t xml:space="preserve">По </w:t>
      </w:r>
      <w:hyperlink w:anchor="P202" w:history="1">
        <w:r>
          <w:rPr>
            <w:color w:val="0000FF"/>
          </w:rPr>
          <w:t>разделу 1</w:t>
        </w:r>
      </w:hyperlink>
      <w:r>
        <w:t xml:space="preserve"> Сведений указывается:</w:t>
      </w:r>
    </w:p>
    <w:p w:rsidR="000B131E" w:rsidRDefault="000B131E">
      <w:pPr>
        <w:pStyle w:val="ConsPlusNormal"/>
        <w:spacing w:before="220"/>
        <w:ind w:firstLine="540"/>
        <w:jc w:val="both"/>
      </w:pPr>
      <w:r>
        <w:t xml:space="preserve">в </w:t>
      </w:r>
      <w:hyperlink w:anchor="P236" w:history="1">
        <w:r>
          <w:rPr>
            <w:color w:val="0000FF"/>
          </w:rPr>
          <w:t>графе 1</w:t>
        </w:r>
      </w:hyperlink>
      <w:r>
        <w:t xml:space="preserve"> - код ТОФК;</w:t>
      </w:r>
    </w:p>
    <w:p w:rsidR="000B131E" w:rsidRDefault="000B131E">
      <w:pPr>
        <w:pStyle w:val="ConsPlusNormal"/>
        <w:spacing w:before="220"/>
        <w:ind w:firstLine="540"/>
        <w:jc w:val="both"/>
      </w:pPr>
      <w:r>
        <w:t xml:space="preserve">в </w:t>
      </w:r>
      <w:hyperlink w:anchor="P237" w:history="1">
        <w:r>
          <w:rPr>
            <w:color w:val="0000FF"/>
          </w:rPr>
          <w:t>графах 2</w:t>
        </w:r>
      </w:hyperlink>
      <w:r>
        <w:t xml:space="preserve">, </w:t>
      </w:r>
      <w:hyperlink w:anchor="P238" w:history="1">
        <w:r>
          <w:rPr>
            <w:color w:val="0000FF"/>
          </w:rPr>
          <w:t>3</w:t>
        </w:r>
      </w:hyperlink>
      <w:r>
        <w:t xml:space="preserve"> - код и наименование главного администратора средств федерального бюджета по бюджетной классификации, подведомственным которому является субъект мониторинга;</w:t>
      </w:r>
    </w:p>
    <w:p w:rsidR="000B131E" w:rsidRDefault="000B131E">
      <w:pPr>
        <w:pStyle w:val="ConsPlusNormal"/>
        <w:spacing w:before="220"/>
        <w:ind w:firstLine="540"/>
        <w:jc w:val="both"/>
      </w:pPr>
      <w:r>
        <w:t xml:space="preserve">в </w:t>
      </w:r>
      <w:hyperlink w:anchor="P239" w:history="1">
        <w:r>
          <w:rPr>
            <w:color w:val="0000FF"/>
          </w:rPr>
          <w:t>графах 4</w:t>
        </w:r>
      </w:hyperlink>
      <w:r>
        <w:t xml:space="preserve">, </w:t>
      </w:r>
      <w:hyperlink w:anchor="P240" w:history="1">
        <w:r>
          <w:rPr>
            <w:color w:val="0000FF"/>
          </w:rPr>
          <w:t>5</w:t>
        </w:r>
      </w:hyperlink>
      <w:r>
        <w:t xml:space="preserve"> - код и наименование субъекта мониторинга в соответствии с Реестром;</w:t>
      </w:r>
    </w:p>
    <w:p w:rsidR="000B131E" w:rsidRDefault="000B131E">
      <w:pPr>
        <w:pStyle w:val="ConsPlusNormal"/>
        <w:spacing w:before="220"/>
        <w:ind w:firstLine="540"/>
        <w:jc w:val="both"/>
      </w:pPr>
      <w:r>
        <w:t xml:space="preserve">в </w:t>
      </w:r>
      <w:hyperlink w:anchor="P241" w:history="1">
        <w:r>
          <w:rPr>
            <w:color w:val="0000FF"/>
          </w:rPr>
          <w:t>графе 6</w:t>
        </w:r>
      </w:hyperlink>
      <w:r>
        <w:t xml:space="preserve"> - соответствующий код типа субъекта мониторинга: 1 - получатель бюджетных средств, 2 - распорядитель бюджетных средств, 3 - администратор доходов, 4 - администратор источников финансирования дефицита бюджета, 5 - федеральное бюджетное или автономное учреждение;</w:t>
      </w:r>
    </w:p>
    <w:p w:rsidR="000B131E" w:rsidRDefault="000B131E">
      <w:pPr>
        <w:pStyle w:val="ConsPlusNormal"/>
        <w:spacing w:before="220"/>
        <w:ind w:firstLine="540"/>
        <w:jc w:val="both"/>
      </w:pPr>
      <w:r>
        <w:t xml:space="preserve">в </w:t>
      </w:r>
      <w:hyperlink w:anchor="P242" w:history="1">
        <w:r>
          <w:rPr>
            <w:color w:val="0000FF"/>
          </w:rPr>
          <w:t>графе 7</w:t>
        </w:r>
      </w:hyperlink>
      <w:r>
        <w:t xml:space="preserve"> - в случае обеспечения субъектом мониторинга полноты представления Отчетности в Подсистему в соответствии с нормативными правовыми актами и методическими документами Минфина России указывается значение 1, в случае несоответствия указывается значение 2;</w:t>
      </w:r>
    </w:p>
    <w:p w:rsidR="000B131E" w:rsidRDefault="000B131E">
      <w:pPr>
        <w:pStyle w:val="ConsPlusNormal"/>
        <w:spacing w:before="220"/>
        <w:ind w:firstLine="540"/>
        <w:jc w:val="both"/>
      </w:pPr>
      <w:r>
        <w:t xml:space="preserve">в </w:t>
      </w:r>
      <w:hyperlink w:anchor="P243" w:history="1">
        <w:r>
          <w:rPr>
            <w:color w:val="0000FF"/>
          </w:rPr>
          <w:t>графах 8</w:t>
        </w:r>
      </w:hyperlink>
      <w:r>
        <w:t xml:space="preserve">, </w:t>
      </w:r>
      <w:hyperlink w:anchor="P244" w:history="1">
        <w:r>
          <w:rPr>
            <w:color w:val="0000FF"/>
          </w:rPr>
          <w:t>9</w:t>
        </w:r>
      </w:hyperlink>
      <w:r>
        <w:t xml:space="preserve"> - установленные сроки представления Отчетности в Подсистему субъектом мониторинга (в формате ДД.ММ.ГГГГ) и фактическая дата соответственно.</w:t>
      </w:r>
    </w:p>
    <w:p w:rsidR="000B131E" w:rsidRDefault="000B131E">
      <w:pPr>
        <w:pStyle w:val="ConsPlusNormal"/>
        <w:spacing w:before="220"/>
        <w:ind w:firstLine="540"/>
        <w:jc w:val="both"/>
      </w:pPr>
      <w:r>
        <w:t xml:space="preserve">В </w:t>
      </w:r>
      <w:hyperlink w:anchor="P245" w:history="1">
        <w:r>
          <w:rPr>
            <w:color w:val="0000FF"/>
          </w:rPr>
          <w:t>графе 10</w:t>
        </w:r>
      </w:hyperlink>
      <w:r>
        <w:t xml:space="preserve"> Сведений указывается код формы бюджетной (бухгалтерской) отчетности, в которой обнаружена ошибка.</w:t>
      </w:r>
    </w:p>
    <w:p w:rsidR="000B131E" w:rsidRDefault="000B131E">
      <w:pPr>
        <w:pStyle w:val="ConsPlusNormal"/>
        <w:spacing w:before="220"/>
        <w:ind w:firstLine="540"/>
        <w:jc w:val="both"/>
      </w:pPr>
      <w:r>
        <w:t xml:space="preserve">В </w:t>
      </w:r>
      <w:hyperlink w:anchor="P204" w:history="1">
        <w:r>
          <w:rPr>
            <w:color w:val="0000FF"/>
          </w:rPr>
          <w:t>разделе 2</w:t>
        </w:r>
      </w:hyperlink>
      <w:r>
        <w:t xml:space="preserve"> Сведений подлежит раскрытию информация об арифметических и логических ошибках в показателях Отчетности субъектов мониторинга, требующих дополнительного контроля и анализа со стороны главного администратора средств федерального бюджета.</w:t>
      </w:r>
    </w:p>
    <w:p w:rsidR="000B131E" w:rsidRDefault="000B131E">
      <w:pPr>
        <w:pStyle w:val="ConsPlusNormal"/>
        <w:spacing w:before="220"/>
        <w:ind w:firstLine="540"/>
        <w:jc w:val="both"/>
      </w:pPr>
      <w:r>
        <w:t xml:space="preserve">По </w:t>
      </w:r>
      <w:hyperlink w:anchor="P204" w:history="1">
        <w:r>
          <w:rPr>
            <w:color w:val="0000FF"/>
          </w:rPr>
          <w:t>разделу 2</w:t>
        </w:r>
      </w:hyperlink>
      <w:r>
        <w:t xml:space="preserve"> Сведений указывается:</w:t>
      </w:r>
    </w:p>
    <w:p w:rsidR="000B131E" w:rsidRDefault="000B131E">
      <w:pPr>
        <w:pStyle w:val="ConsPlusNormal"/>
        <w:spacing w:before="220"/>
        <w:ind w:firstLine="540"/>
        <w:jc w:val="both"/>
      </w:pPr>
      <w:r>
        <w:t xml:space="preserve">в </w:t>
      </w:r>
      <w:hyperlink w:anchor="P246" w:history="1">
        <w:r>
          <w:rPr>
            <w:color w:val="0000FF"/>
          </w:rPr>
          <w:t>графе 11</w:t>
        </w:r>
      </w:hyperlink>
      <w:r>
        <w:t xml:space="preserve"> - в случае отсутствия арифметических и логических ошибок в показателях Отчетности, представленной субъектами мониторинга в Подсистему, указывается значение 1, в случае наличия указывается значение 2;</w:t>
      </w:r>
    </w:p>
    <w:p w:rsidR="000B131E" w:rsidRDefault="000B131E">
      <w:pPr>
        <w:pStyle w:val="ConsPlusNormal"/>
        <w:spacing w:before="220"/>
        <w:ind w:firstLine="540"/>
        <w:jc w:val="both"/>
      </w:pPr>
      <w:r>
        <w:t xml:space="preserve">в </w:t>
      </w:r>
      <w:hyperlink w:anchor="P247" w:history="1">
        <w:r>
          <w:rPr>
            <w:color w:val="0000FF"/>
          </w:rPr>
          <w:t>графе 12</w:t>
        </w:r>
      </w:hyperlink>
      <w:r>
        <w:t xml:space="preserve"> - код ошибки, отраженный в Протоколе контроля, тип проводимого контроля (форматного, внутридокументного, междокументного и внешнего контроля);</w:t>
      </w:r>
    </w:p>
    <w:p w:rsidR="000B131E" w:rsidRDefault="000B131E">
      <w:pPr>
        <w:pStyle w:val="ConsPlusNormal"/>
        <w:spacing w:before="220"/>
        <w:ind w:firstLine="540"/>
        <w:jc w:val="both"/>
      </w:pPr>
      <w:r>
        <w:t xml:space="preserve">в </w:t>
      </w:r>
      <w:hyperlink w:anchor="P248" w:history="1">
        <w:r>
          <w:rPr>
            <w:color w:val="0000FF"/>
          </w:rPr>
          <w:t>графе 13</w:t>
        </w:r>
      </w:hyperlink>
      <w:r>
        <w:t xml:space="preserve"> - обосновывающий необходимость дополнительного контроля и анализа комментарий ТОФК.</w:t>
      </w:r>
    </w:p>
    <w:p w:rsidR="000B131E" w:rsidRDefault="000B131E">
      <w:pPr>
        <w:pStyle w:val="ConsPlusNormal"/>
        <w:spacing w:before="220"/>
        <w:ind w:firstLine="540"/>
        <w:jc w:val="both"/>
      </w:pPr>
      <w:r>
        <w:t xml:space="preserve">В </w:t>
      </w:r>
      <w:hyperlink w:anchor="P205" w:history="1">
        <w:r>
          <w:rPr>
            <w:color w:val="0000FF"/>
          </w:rPr>
          <w:t>разделе 3</w:t>
        </w:r>
      </w:hyperlink>
      <w:r>
        <w:t xml:space="preserve"> Сведений подлежит раскрытию информация о выявленных несоответствиях показателей Отчетности и данных классификаторов и справочников, используемых в Подсистеме.</w:t>
      </w:r>
    </w:p>
    <w:p w:rsidR="000B131E" w:rsidRDefault="000B131E">
      <w:pPr>
        <w:pStyle w:val="ConsPlusNormal"/>
        <w:spacing w:before="220"/>
        <w:ind w:firstLine="540"/>
        <w:jc w:val="both"/>
      </w:pPr>
      <w:r>
        <w:t xml:space="preserve">По </w:t>
      </w:r>
      <w:hyperlink w:anchor="P205" w:history="1">
        <w:r>
          <w:rPr>
            <w:color w:val="0000FF"/>
          </w:rPr>
          <w:t>разделу 3</w:t>
        </w:r>
      </w:hyperlink>
      <w:r>
        <w:t xml:space="preserve"> Сведений указывается:</w:t>
      </w:r>
    </w:p>
    <w:p w:rsidR="000B131E" w:rsidRDefault="000B131E">
      <w:pPr>
        <w:pStyle w:val="ConsPlusNormal"/>
        <w:spacing w:before="220"/>
        <w:ind w:firstLine="540"/>
        <w:jc w:val="both"/>
      </w:pPr>
      <w:r>
        <w:t xml:space="preserve">в </w:t>
      </w:r>
      <w:hyperlink w:anchor="P249" w:history="1">
        <w:r>
          <w:rPr>
            <w:color w:val="0000FF"/>
          </w:rPr>
          <w:t>графе 14</w:t>
        </w:r>
      </w:hyperlink>
      <w:r>
        <w:t xml:space="preserve"> - в случае соответствия показателей Отчетности данным классификаторов и справочников, используемых в Подсистеме, указывается значение 1, в случае несоответствия указывается 2;</w:t>
      </w:r>
    </w:p>
    <w:p w:rsidR="000B131E" w:rsidRDefault="000B131E">
      <w:pPr>
        <w:pStyle w:val="ConsPlusNormal"/>
        <w:spacing w:before="220"/>
        <w:ind w:firstLine="540"/>
        <w:jc w:val="both"/>
      </w:pPr>
      <w:r>
        <w:t xml:space="preserve">в </w:t>
      </w:r>
      <w:hyperlink w:anchor="P250" w:history="1">
        <w:r>
          <w:rPr>
            <w:color w:val="0000FF"/>
          </w:rPr>
          <w:t>графе 15</w:t>
        </w:r>
      </w:hyperlink>
      <w:r>
        <w:t xml:space="preserve"> - наименование классификатора или справочника Подсистемы, в наборе записей которого отсутствует показатель, указанный в </w:t>
      </w:r>
      <w:hyperlink w:anchor="P251" w:history="1">
        <w:r>
          <w:rPr>
            <w:color w:val="0000FF"/>
          </w:rPr>
          <w:t>графе 16</w:t>
        </w:r>
      </w:hyperlink>
      <w:r>
        <w:t>;</w:t>
      </w:r>
    </w:p>
    <w:p w:rsidR="000B131E" w:rsidRDefault="000B131E">
      <w:pPr>
        <w:pStyle w:val="ConsPlusNormal"/>
        <w:spacing w:before="220"/>
        <w:ind w:firstLine="540"/>
        <w:jc w:val="both"/>
      </w:pPr>
      <w:r>
        <w:t xml:space="preserve">в </w:t>
      </w:r>
      <w:hyperlink w:anchor="P251" w:history="1">
        <w:r>
          <w:rPr>
            <w:color w:val="0000FF"/>
          </w:rPr>
          <w:t>графе 16</w:t>
        </w:r>
      </w:hyperlink>
      <w:r>
        <w:t xml:space="preserve"> - код показателя, отсутствующего в классификаторе или справочнике, указанном в </w:t>
      </w:r>
      <w:hyperlink w:anchor="P250" w:history="1">
        <w:r>
          <w:rPr>
            <w:color w:val="0000FF"/>
          </w:rPr>
          <w:t>графе 15</w:t>
        </w:r>
      </w:hyperlink>
      <w:r>
        <w:t>;</w:t>
      </w:r>
    </w:p>
    <w:p w:rsidR="000B131E" w:rsidRDefault="000B131E">
      <w:pPr>
        <w:pStyle w:val="ConsPlusNormal"/>
        <w:spacing w:before="220"/>
        <w:ind w:firstLine="540"/>
        <w:jc w:val="both"/>
      </w:pPr>
      <w:r>
        <w:t xml:space="preserve">в </w:t>
      </w:r>
      <w:hyperlink w:anchor="P252" w:history="1">
        <w:r>
          <w:rPr>
            <w:color w:val="0000FF"/>
          </w:rPr>
          <w:t>графе 17</w:t>
        </w:r>
      </w:hyperlink>
      <w:r>
        <w:t xml:space="preserve"> - комментарий ТОФК, содержащий обоснование корректности (некорректности) применения субъектом мониторинга рассматриваемого показателя, а также, при наличии, идентификатор зарегистрированного обращения.</w:t>
      </w:r>
    </w:p>
    <w:p w:rsidR="000B131E" w:rsidRDefault="000B131E">
      <w:pPr>
        <w:pStyle w:val="ConsPlusNormal"/>
        <w:spacing w:before="220"/>
        <w:ind w:firstLine="540"/>
        <w:jc w:val="both"/>
      </w:pPr>
      <w:r>
        <w:t xml:space="preserve">В </w:t>
      </w:r>
      <w:hyperlink w:anchor="P206" w:history="1">
        <w:r>
          <w:rPr>
            <w:color w:val="0000FF"/>
          </w:rPr>
          <w:t>разделе 4</w:t>
        </w:r>
      </w:hyperlink>
      <w:r>
        <w:t xml:space="preserve"> Сведений подлежит раскрытию информация о невыполнении субъектом мониторинга обязательных требований по раскрытию информации в составе пояснительной записки к Отчетности.</w:t>
      </w:r>
    </w:p>
    <w:p w:rsidR="000B131E" w:rsidRDefault="000B131E">
      <w:pPr>
        <w:pStyle w:val="ConsPlusNormal"/>
        <w:spacing w:before="220"/>
        <w:ind w:firstLine="540"/>
        <w:jc w:val="both"/>
      </w:pPr>
      <w:r>
        <w:t xml:space="preserve">По </w:t>
      </w:r>
      <w:hyperlink w:anchor="P206" w:history="1">
        <w:r>
          <w:rPr>
            <w:color w:val="0000FF"/>
          </w:rPr>
          <w:t>разделу 4</w:t>
        </w:r>
      </w:hyperlink>
      <w:r>
        <w:t xml:space="preserve"> указывается:</w:t>
      </w:r>
    </w:p>
    <w:p w:rsidR="000B131E" w:rsidRDefault="000B131E">
      <w:pPr>
        <w:pStyle w:val="ConsPlusNormal"/>
        <w:spacing w:before="220"/>
        <w:ind w:firstLine="540"/>
        <w:jc w:val="both"/>
      </w:pPr>
      <w:r>
        <w:t xml:space="preserve">в </w:t>
      </w:r>
      <w:hyperlink w:anchor="P253" w:history="1">
        <w:r>
          <w:rPr>
            <w:color w:val="0000FF"/>
          </w:rPr>
          <w:t>графе 18</w:t>
        </w:r>
      </w:hyperlink>
      <w:r>
        <w:t xml:space="preserve"> - в случае выполнения субъектом мониторинга обязательных требований по раскрытию информации в составе пояснительной записки к Отчетности указывается значение 1, в случае несоответствия указывается значение 2;</w:t>
      </w:r>
    </w:p>
    <w:p w:rsidR="000B131E" w:rsidRDefault="000B131E">
      <w:pPr>
        <w:pStyle w:val="ConsPlusNormal"/>
        <w:spacing w:before="220"/>
        <w:ind w:firstLine="540"/>
        <w:jc w:val="both"/>
      </w:pPr>
      <w:r>
        <w:t xml:space="preserve">в </w:t>
      </w:r>
      <w:hyperlink w:anchor="P254" w:history="1">
        <w:r>
          <w:rPr>
            <w:color w:val="0000FF"/>
          </w:rPr>
          <w:t>графе 19</w:t>
        </w:r>
      </w:hyperlink>
      <w:r>
        <w:t xml:space="preserve"> - ссылка на нормативный документ и (или) методический документ Минфина России и Федерального казначейства (номер, дата, пункт и т.п.), устанавливающие обязательные требования по раскрытию информации в составе пояснительной записки к Отчетности;</w:t>
      </w:r>
    </w:p>
    <w:p w:rsidR="000B131E" w:rsidRDefault="000B131E">
      <w:pPr>
        <w:pStyle w:val="ConsPlusNormal"/>
        <w:spacing w:before="220"/>
        <w:ind w:firstLine="540"/>
        <w:jc w:val="both"/>
      </w:pPr>
      <w:r>
        <w:t xml:space="preserve">в </w:t>
      </w:r>
      <w:hyperlink w:anchor="P255" w:history="1">
        <w:r>
          <w:rPr>
            <w:color w:val="0000FF"/>
          </w:rPr>
          <w:t>графе 20</w:t>
        </w:r>
      </w:hyperlink>
      <w:r>
        <w:t xml:space="preserve"> - комментарий ТОФК, содержащий обоснование выводов о невыполнении субъектом мониторинга обязательных требований по раскрытию информации в составе пояснительной записки к Отчетности.</w:t>
      </w:r>
    </w:p>
    <w:p w:rsidR="000B131E" w:rsidRDefault="000B131E">
      <w:pPr>
        <w:pStyle w:val="ConsPlusNormal"/>
        <w:spacing w:before="220"/>
        <w:ind w:firstLine="540"/>
        <w:jc w:val="both"/>
      </w:pPr>
      <w:r>
        <w:t xml:space="preserve">В </w:t>
      </w:r>
      <w:hyperlink w:anchor="P207" w:history="1">
        <w:r>
          <w:rPr>
            <w:color w:val="0000FF"/>
          </w:rPr>
          <w:t>разделе 5</w:t>
        </w:r>
      </w:hyperlink>
      <w:r>
        <w:t xml:space="preserve"> Сведений раскрывается информация о несоответствии показателей Отчетности субъектов мониторинга показателям бюджетных и денежных обязательств, учтенных соответствующим ТОФК.</w:t>
      </w:r>
    </w:p>
    <w:p w:rsidR="000B131E" w:rsidRDefault="000B131E">
      <w:pPr>
        <w:pStyle w:val="ConsPlusNormal"/>
        <w:spacing w:before="220"/>
        <w:ind w:firstLine="540"/>
        <w:jc w:val="both"/>
      </w:pPr>
      <w:r>
        <w:t xml:space="preserve">По </w:t>
      </w:r>
      <w:hyperlink w:anchor="P207" w:history="1">
        <w:r>
          <w:rPr>
            <w:color w:val="0000FF"/>
          </w:rPr>
          <w:t>разделу 5</w:t>
        </w:r>
      </w:hyperlink>
      <w:r>
        <w:t xml:space="preserve"> указывается:</w:t>
      </w:r>
    </w:p>
    <w:p w:rsidR="000B131E" w:rsidRDefault="000B131E">
      <w:pPr>
        <w:pStyle w:val="ConsPlusNormal"/>
        <w:spacing w:before="220"/>
        <w:ind w:firstLine="540"/>
        <w:jc w:val="both"/>
      </w:pPr>
      <w:r>
        <w:t xml:space="preserve">в </w:t>
      </w:r>
      <w:hyperlink w:anchor="P256" w:history="1">
        <w:r>
          <w:rPr>
            <w:color w:val="0000FF"/>
          </w:rPr>
          <w:t>графе 21</w:t>
        </w:r>
      </w:hyperlink>
      <w:r>
        <w:t xml:space="preserve"> - в случае соответствия показателей Отчетности субъектов мониторинга показателям бюджетных и денежных обязательств, учтенных соответствующим ТОФК, указывается значение 1, в случае несоответствия указывается значение 2;</w:t>
      </w:r>
    </w:p>
    <w:p w:rsidR="000B131E" w:rsidRDefault="000B131E">
      <w:pPr>
        <w:pStyle w:val="ConsPlusNormal"/>
        <w:spacing w:before="220"/>
        <w:ind w:firstLine="540"/>
        <w:jc w:val="both"/>
      </w:pPr>
      <w:r>
        <w:t xml:space="preserve">в </w:t>
      </w:r>
      <w:hyperlink w:anchor="P257" w:history="1">
        <w:r>
          <w:rPr>
            <w:color w:val="0000FF"/>
          </w:rPr>
          <w:t>графах 22</w:t>
        </w:r>
      </w:hyperlink>
      <w:r>
        <w:t xml:space="preserve">, </w:t>
      </w:r>
      <w:hyperlink w:anchor="P258" w:history="1">
        <w:r>
          <w:rPr>
            <w:color w:val="0000FF"/>
          </w:rPr>
          <w:t>23</w:t>
        </w:r>
      </w:hyperlink>
      <w:r>
        <w:t xml:space="preserve"> - сумма расхождений показателей бюджетных и денежных обязательств, отраженных в Отчетности субъектов мониторинга и отчетности ТОФК, соответственно;</w:t>
      </w:r>
    </w:p>
    <w:p w:rsidR="000B131E" w:rsidRDefault="000B131E">
      <w:pPr>
        <w:pStyle w:val="ConsPlusNormal"/>
        <w:spacing w:before="220"/>
        <w:ind w:firstLine="540"/>
        <w:jc w:val="both"/>
      </w:pPr>
      <w:r>
        <w:t xml:space="preserve">в </w:t>
      </w:r>
      <w:hyperlink w:anchor="P259" w:history="1">
        <w:r>
          <w:rPr>
            <w:color w:val="0000FF"/>
          </w:rPr>
          <w:t>графе 24</w:t>
        </w:r>
      </w:hyperlink>
      <w:r>
        <w:t xml:space="preserve"> - комментарий ТОФК к выявленным расхождениям.</w:t>
      </w:r>
    </w:p>
    <w:p w:rsidR="000B131E" w:rsidRDefault="000B131E">
      <w:pPr>
        <w:pStyle w:val="ConsPlusNormal"/>
        <w:spacing w:before="220"/>
        <w:ind w:firstLine="540"/>
        <w:jc w:val="both"/>
      </w:pPr>
      <w:r>
        <w:t xml:space="preserve">В </w:t>
      </w:r>
      <w:hyperlink w:anchor="P260" w:history="1">
        <w:r>
          <w:rPr>
            <w:color w:val="0000FF"/>
          </w:rPr>
          <w:t>графе 25</w:t>
        </w:r>
      </w:hyperlink>
      <w:r>
        <w:t xml:space="preserve"> - указывается информация (при необходимости), поясняющая значение отдельных показателей Сведений (или их отсутствие).</w:t>
      </w:r>
    </w:p>
    <w:p w:rsidR="000B131E" w:rsidRDefault="000B131E">
      <w:pPr>
        <w:pStyle w:val="ConsPlusNormal"/>
        <w:spacing w:before="220"/>
        <w:ind w:firstLine="540"/>
        <w:jc w:val="both"/>
      </w:pPr>
      <w:r>
        <w:t xml:space="preserve">Набор показателей </w:t>
      </w:r>
      <w:hyperlink w:anchor="P237" w:history="1">
        <w:r>
          <w:rPr>
            <w:color w:val="0000FF"/>
          </w:rPr>
          <w:t>граф 2</w:t>
        </w:r>
      </w:hyperlink>
      <w:r>
        <w:t xml:space="preserve">, </w:t>
      </w:r>
      <w:hyperlink w:anchor="P239" w:history="1">
        <w:r>
          <w:rPr>
            <w:color w:val="0000FF"/>
          </w:rPr>
          <w:t>4</w:t>
        </w:r>
      </w:hyperlink>
      <w:r>
        <w:t xml:space="preserve">, </w:t>
      </w:r>
      <w:hyperlink w:anchor="P241" w:history="1">
        <w:r>
          <w:rPr>
            <w:color w:val="0000FF"/>
          </w:rPr>
          <w:t>6</w:t>
        </w:r>
      </w:hyperlink>
      <w:r>
        <w:t xml:space="preserve"> образует уникальный идентификатор записи в Сведениях.</w:t>
      </w:r>
    </w:p>
    <w:p w:rsidR="000B131E" w:rsidRDefault="000B131E">
      <w:pPr>
        <w:pStyle w:val="ConsPlusNormal"/>
        <w:spacing w:before="220"/>
        <w:ind w:firstLine="540"/>
        <w:jc w:val="both"/>
      </w:pPr>
      <w:r>
        <w:t>2.6.2. Сведения подписываются заместителем руководителя ТОФК, курирующим деятельность Отдела централизованной бухгалтерии ТОФК, и не позднее двух рабочих дней со срока представления отчетности главным администратором средств федерального бюджета в МОУ ФК ТОФК осуществляет представление Сведений:</w:t>
      </w:r>
    </w:p>
    <w:p w:rsidR="000B131E" w:rsidRDefault="000B131E">
      <w:pPr>
        <w:pStyle w:val="ConsPlusNormal"/>
        <w:spacing w:before="220"/>
        <w:ind w:firstLine="540"/>
        <w:jc w:val="both"/>
      </w:pPr>
      <w:r>
        <w:t>УФК по Белгородской области, УФК по Брянской области, УФК по Владимирской области, УФК по Воронежской области, УФК по Курской области - в УФК по Белгородской области;</w:t>
      </w:r>
    </w:p>
    <w:p w:rsidR="000B131E" w:rsidRDefault="000B131E">
      <w:pPr>
        <w:pStyle w:val="ConsPlusNormal"/>
        <w:spacing w:before="220"/>
        <w:ind w:firstLine="540"/>
        <w:jc w:val="both"/>
      </w:pPr>
      <w:r>
        <w:t>УФК по Ивановской области, УФК по Тверской области, УФК по Калужской области, УФК по Костромской области, УФК по Тамбовской области, УФК по Липецкой области - в УФК по Липецкой области;</w:t>
      </w:r>
    </w:p>
    <w:p w:rsidR="000B131E" w:rsidRDefault="000B131E">
      <w:pPr>
        <w:pStyle w:val="ConsPlusNormal"/>
        <w:spacing w:before="220"/>
        <w:ind w:firstLine="540"/>
        <w:jc w:val="both"/>
      </w:pPr>
      <w:r>
        <w:t>УФК по Московской области, УФК по Орловской области, УФК по Рязанской области, УФК по Смоленской области - в УФК по Московской области;</w:t>
      </w:r>
    </w:p>
    <w:p w:rsidR="000B131E" w:rsidRDefault="000B131E">
      <w:pPr>
        <w:pStyle w:val="ConsPlusNormal"/>
        <w:spacing w:before="220"/>
        <w:ind w:firstLine="540"/>
        <w:jc w:val="both"/>
      </w:pPr>
      <w:r>
        <w:t>УФК по Тульской области, УФК по Ярославской области, УФК по г. Москве - в УФК по Тульской области;</w:t>
      </w:r>
    </w:p>
    <w:p w:rsidR="000B131E" w:rsidRDefault="000B131E">
      <w:pPr>
        <w:pStyle w:val="ConsPlusNormal"/>
        <w:spacing w:before="220"/>
        <w:ind w:firstLine="540"/>
        <w:jc w:val="both"/>
      </w:pPr>
      <w:r>
        <w:t>УФК по Республике Карелия, УФК по Республике Коми, УФК по Архангельской области и Ненецкому автономному округу, УФК по Вологодской области, УФК по Мурманской области - в УФК по Архангельской области и Ненецкому автономному округу;</w:t>
      </w:r>
    </w:p>
    <w:p w:rsidR="000B131E" w:rsidRDefault="000B131E">
      <w:pPr>
        <w:pStyle w:val="ConsPlusNormal"/>
        <w:spacing w:before="220"/>
        <w:ind w:firstLine="540"/>
        <w:jc w:val="both"/>
      </w:pPr>
      <w:r>
        <w:t>УФК по Калининградской области, УФК по Ленинградской области, УФК по Новгородской области, УФК по Псковской области, УФК по г. Санкт-Петербургу - в УФК по г. Санкт-Петербургу;</w:t>
      </w:r>
    </w:p>
    <w:p w:rsidR="000B131E" w:rsidRDefault="000B131E">
      <w:pPr>
        <w:pStyle w:val="ConsPlusNormal"/>
        <w:spacing w:before="220"/>
        <w:ind w:firstLine="540"/>
        <w:jc w:val="both"/>
      </w:pPr>
      <w:r>
        <w:t>УФК по Республике Адыгея, УФК по Краснодарскому краю, УФК по Астраханской области - УФК по Краснодарскому краю;</w:t>
      </w:r>
    </w:p>
    <w:p w:rsidR="000B131E" w:rsidRDefault="000B131E">
      <w:pPr>
        <w:pStyle w:val="ConsPlusNormal"/>
        <w:spacing w:before="220"/>
        <w:ind w:firstLine="540"/>
        <w:jc w:val="both"/>
      </w:pPr>
      <w:r>
        <w:t>УФК по Волгоградской области, УФК по Ростовской области, УФК по Республике Калмыкия - в УФК по Ростовской области;</w:t>
      </w:r>
    </w:p>
    <w:p w:rsidR="000B131E" w:rsidRDefault="000B131E">
      <w:pPr>
        <w:pStyle w:val="ConsPlusNormal"/>
        <w:spacing w:before="220"/>
        <w:ind w:firstLine="540"/>
        <w:jc w:val="both"/>
      </w:pPr>
      <w:r>
        <w:t>УФК по Республике Дагестан, УФК по Кабардино-Балкарской Республике, УФК по Республике Северная Осетия - Алания, УФК по Республике Ингушетия, УФК по Ставропольскому краю, УФК по Карачаево-Черкесской Республике, УФК по Чеченской Республике - в УФК по Ставропольскому краю;</w:t>
      </w:r>
    </w:p>
    <w:p w:rsidR="000B131E" w:rsidRDefault="000B131E">
      <w:pPr>
        <w:pStyle w:val="ConsPlusNormal"/>
        <w:spacing w:before="220"/>
        <w:ind w:firstLine="540"/>
        <w:jc w:val="both"/>
      </w:pPr>
      <w:r>
        <w:t>УФК по Чувашской Республике, УФК по Республике Марий Эл, УФК по Республике Мордовия, УФК по Республике Татарстан - в УФК по Чувашской Республике;</w:t>
      </w:r>
    </w:p>
    <w:p w:rsidR="000B131E" w:rsidRDefault="000B131E">
      <w:pPr>
        <w:pStyle w:val="ConsPlusNormal"/>
        <w:spacing w:before="220"/>
        <w:ind w:firstLine="540"/>
        <w:jc w:val="both"/>
      </w:pPr>
      <w:r>
        <w:t>УФК по Нижегородской области, УФК по Кировской области, УФК по Саратовской области - в УФК по Нижегородской области;</w:t>
      </w:r>
    </w:p>
    <w:p w:rsidR="000B131E" w:rsidRDefault="000B131E">
      <w:pPr>
        <w:pStyle w:val="ConsPlusNormal"/>
        <w:spacing w:before="220"/>
        <w:ind w:firstLine="540"/>
        <w:jc w:val="both"/>
      </w:pPr>
      <w:r>
        <w:t>УФК по Самарской области, УФК по Оренбургской области, УФК по Удмуртской Республике, УФК по Ульяновской области - УФК по Оренбургской области;</w:t>
      </w:r>
    </w:p>
    <w:p w:rsidR="000B131E" w:rsidRDefault="000B131E">
      <w:pPr>
        <w:pStyle w:val="ConsPlusNormal"/>
        <w:spacing w:before="220"/>
        <w:ind w:firstLine="540"/>
        <w:jc w:val="both"/>
      </w:pPr>
      <w:r>
        <w:t>УФК по Пензенской области, УФК по Пермскому краю, УФК по Республике Башкортостан - в УФК по Пермскому краю;</w:t>
      </w:r>
    </w:p>
    <w:p w:rsidR="000B131E" w:rsidRDefault="000B131E">
      <w:pPr>
        <w:pStyle w:val="ConsPlusNormal"/>
        <w:spacing w:before="220"/>
        <w:ind w:firstLine="540"/>
        <w:jc w:val="both"/>
      </w:pPr>
      <w:r>
        <w:t>УФК по Курганской области, УФК по Тюменской области, УФК по Челябинской области - в УФК по Курганской области;</w:t>
      </w:r>
    </w:p>
    <w:p w:rsidR="000B131E" w:rsidRDefault="000B131E">
      <w:pPr>
        <w:pStyle w:val="ConsPlusNormal"/>
        <w:spacing w:before="220"/>
        <w:ind w:firstLine="540"/>
        <w:jc w:val="both"/>
      </w:pPr>
      <w:r>
        <w:t>УФК по Свердловской области, УФК по Ханты-Мансийскому автономному округу - Югре, УФК по Ямало-Ненецкому автономному округу - в УФК по Свердловской области;</w:t>
      </w:r>
    </w:p>
    <w:p w:rsidR="000B131E" w:rsidRDefault="000B131E">
      <w:pPr>
        <w:pStyle w:val="ConsPlusNormal"/>
        <w:spacing w:before="220"/>
        <w:ind w:firstLine="540"/>
        <w:jc w:val="both"/>
      </w:pPr>
      <w:r>
        <w:t>УФК по Республике Бурятия, УФК по Республике Тыва, УФК по Красноярскому краю, УФК по Забайкальскому краю - в УФК по Красноярскому краю;</w:t>
      </w:r>
    </w:p>
    <w:p w:rsidR="000B131E" w:rsidRDefault="000B131E">
      <w:pPr>
        <w:pStyle w:val="ConsPlusNormal"/>
        <w:spacing w:before="220"/>
        <w:ind w:firstLine="540"/>
        <w:jc w:val="both"/>
      </w:pPr>
      <w:r>
        <w:t>УФК по Кемеровской области, УФК по Иркутской области, УФК по Новосибирской области - в УФК по Кемеровской области;</w:t>
      </w:r>
    </w:p>
    <w:p w:rsidR="000B131E" w:rsidRDefault="000B131E">
      <w:pPr>
        <w:pStyle w:val="ConsPlusNormal"/>
        <w:spacing w:before="220"/>
        <w:ind w:firstLine="540"/>
        <w:jc w:val="both"/>
      </w:pPr>
      <w:r>
        <w:t>УФК по Омской области, УФК по Томской области, УФК по Республике Алтай, УФК по Республике Хакасия, УФК по Алтайскому краю - в УФК по Омской области;</w:t>
      </w:r>
    </w:p>
    <w:p w:rsidR="000B131E" w:rsidRDefault="000B131E">
      <w:pPr>
        <w:pStyle w:val="ConsPlusNormal"/>
        <w:spacing w:before="220"/>
        <w:ind w:firstLine="540"/>
        <w:jc w:val="both"/>
      </w:pPr>
      <w:r>
        <w:t>УФК по Республике Саха (Якутия), УФК по Магаданской области, УФК по Еврейской автономной области, УФК по Чукотскому автономному округу, УФК по Камчатскому краю, УФК по Сахалинской области - в УФК по Республике Саха (Якутия);</w:t>
      </w:r>
    </w:p>
    <w:p w:rsidR="000B131E" w:rsidRDefault="000B131E">
      <w:pPr>
        <w:pStyle w:val="ConsPlusNormal"/>
        <w:spacing w:before="220"/>
        <w:ind w:firstLine="540"/>
        <w:jc w:val="both"/>
      </w:pPr>
      <w:r>
        <w:t>УФК по Хабаровскому краю, УФК по Амурской области, УФК по Приморскому краю - в УФК по Приморскому краю;</w:t>
      </w:r>
    </w:p>
    <w:p w:rsidR="000B131E" w:rsidRDefault="000B131E">
      <w:pPr>
        <w:pStyle w:val="ConsPlusNormal"/>
        <w:spacing w:before="220"/>
        <w:ind w:firstLine="540"/>
        <w:jc w:val="both"/>
      </w:pPr>
      <w:r>
        <w:t>УФК по г. Севастополю, УФК по Республике Крым - в УФК по Республике Крым.</w:t>
      </w:r>
    </w:p>
    <w:p w:rsidR="000B131E" w:rsidRDefault="000B131E">
      <w:pPr>
        <w:pStyle w:val="ConsPlusNormal"/>
        <w:spacing w:before="220"/>
        <w:ind w:firstLine="540"/>
        <w:jc w:val="both"/>
      </w:pPr>
      <w:r>
        <w:t>2.6.3. Сведения, сформированные Отделом централизованной бухгалтерии МОУ ФК, подписываются заместителем руководителя МОУ ФК, курирующим деятельность Отдела централизованной бухгалтерии, и в срок не позднее одного рабочего дня со срока представления Отчетности главным администратором средств федерального бюджета в МОУ ФК, представляются в УФК по Краснодарскому краю.</w:t>
      </w:r>
    </w:p>
    <w:p w:rsidR="000B131E" w:rsidRDefault="000B131E">
      <w:pPr>
        <w:pStyle w:val="ConsPlusNormal"/>
        <w:spacing w:before="220"/>
        <w:ind w:firstLine="540"/>
        <w:jc w:val="both"/>
      </w:pPr>
      <w:r>
        <w:t>2.7. Отделы централизованной бухгалтерии и Отделы бюджетного учета и отчетности по операциям бюджетов управлений Федерального казначейства по Белгородской области, Липецкой области, Московской области, Тульской области, Архангельской области и Ненецкому автономному округу, г. Санкт-Петербургу, Краснодарскому краю, Ростовской области, Ставропольскому краю, Чувашской Республике, Нижегородской области, Оренбургской области, Пермскому краю, Курганской области, Свердловской области, Красноярскому краю, Кемеровской области, Омской области, Республике Саха (Якутия), Приморскому краю, Республике Крым (далее - ТОФК - Центры компетенции) соответственно осуществляют анализ и обобщение представленных Сведений в разрезе главных администраторов средств федерального бюджета путем:</w:t>
      </w:r>
    </w:p>
    <w:p w:rsidR="000B131E" w:rsidRDefault="000B131E">
      <w:pPr>
        <w:pStyle w:val="ConsPlusNormal"/>
        <w:spacing w:before="220"/>
        <w:ind w:firstLine="540"/>
        <w:jc w:val="both"/>
      </w:pPr>
      <w:r>
        <w:t>оценки допустимости выявленных ТОФК арифметических и логических ошибок в показателях Отчетности субъектов мониторинга;</w:t>
      </w:r>
    </w:p>
    <w:p w:rsidR="000B131E" w:rsidRDefault="000B131E">
      <w:pPr>
        <w:pStyle w:val="ConsPlusNormal"/>
        <w:spacing w:before="220"/>
        <w:ind w:firstLine="540"/>
        <w:jc w:val="both"/>
      </w:pPr>
      <w:r>
        <w:t>оценки фактов невыполнения субъектами мониторинга обязательных требований по раскрытию информации в составе пояснительной записки к Отчетности;</w:t>
      </w:r>
    </w:p>
    <w:p w:rsidR="000B131E" w:rsidRDefault="000B131E">
      <w:pPr>
        <w:pStyle w:val="ConsPlusNormal"/>
        <w:spacing w:before="220"/>
        <w:ind w:firstLine="540"/>
        <w:jc w:val="both"/>
      </w:pPr>
      <w:r>
        <w:t>оценки допустимости отклонений показателей Отчетности субъектов мониторинга от показателей кассового исполнения федерального бюджета, а также показателей утвержденных и (или) доведенных бюджетных данных отраженным на лицевых счетах субъектов мониторинга, открытых в соответствующем ТОФК;</w:t>
      </w:r>
    </w:p>
    <w:p w:rsidR="000B131E" w:rsidRDefault="000B131E">
      <w:pPr>
        <w:pStyle w:val="ConsPlusNormal"/>
        <w:spacing w:before="220"/>
        <w:ind w:firstLine="540"/>
        <w:jc w:val="both"/>
      </w:pPr>
      <w:r>
        <w:t>оценки допустимости отклонения показателей Отчетности субъектов мониторинга от показателей бюджетных и денежных обязательств, учтенных соответствующим ТОФК.</w:t>
      </w:r>
    </w:p>
    <w:p w:rsidR="000B131E" w:rsidRDefault="000B131E">
      <w:pPr>
        <w:pStyle w:val="ConsPlusNormal"/>
        <w:spacing w:before="220"/>
        <w:ind w:firstLine="540"/>
        <w:jc w:val="both"/>
      </w:pPr>
      <w:r>
        <w:t>По результатам анализа и обобщения представленных Сведений ТОФК - Центр компетенции, формирует Сведения с типом "сводные" (далее - Сводные сведения).</w:t>
      </w:r>
    </w:p>
    <w:p w:rsidR="000B131E" w:rsidRDefault="000B131E">
      <w:pPr>
        <w:pStyle w:val="ConsPlusNormal"/>
        <w:spacing w:before="220"/>
        <w:ind w:firstLine="540"/>
        <w:jc w:val="both"/>
      </w:pPr>
      <w:r>
        <w:t>Формирование Сводных сведений осуществляется в Подсистеме.</w:t>
      </w:r>
    </w:p>
    <w:p w:rsidR="000B131E" w:rsidRDefault="000B131E">
      <w:pPr>
        <w:pStyle w:val="ConsPlusNormal"/>
        <w:spacing w:before="220"/>
        <w:ind w:firstLine="540"/>
        <w:jc w:val="both"/>
      </w:pPr>
      <w:r>
        <w:t>Сформированные ТОФК - Центром компетенции, Сводные сведения подписываются заместителем руководителя ТОФК - Центр компетенции, курирующим деятельность Отдела централизованной бухгалтерии ТОФК, и не позднее одного рабочего дня до срока представления Отчетности главным администратором средств федерального бюджета в МОУ ФК, представляются в УФК по Краснодарскому краю.</w:t>
      </w:r>
    </w:p>
    <w:p w:rsidR="000B131E" w:rsidRDefault="000B131E">
      <w:pPr>
        <w:pStyle w:val="ConsPlusNormal"/>
        <w:spacing w:before="220"/>
        <w:ind w:firstLine="540"/>
        <w:jc w:val="both"/>
      </w:pPr>
      <w:r>
        <w:t>2.8. На основании Сведений, представленных Отделом централизованной бухгалтерии МОУ ФК и Сводных сведений, представленных ТОФК - Центрами компетенции, УФК по Краснодарскому краю формирует Сведения с типом "консолидированные" (далее - Консолидированные сведения) отдельно по каждому главному администратору средств федерального бюджета.</w:t>
      </w:r>
    </w:p>
    <w:p w:rsidR="000B131E" w:rsidRDefault="000B131E">
      <w:pPr>
        <w:pStyle w:val="ConsPlusNormal"/>
        <w:spacing w:before="220"/>
        <w:ind w:firstLine="540"/>
        <w:jc w:val="both"/>
      </w:pPr>
      <w:r>
        <w:t>Сформированные УФК по Краснодарскому краю Консолидированные сведения подписываются заместителем руководителя УФК по Краснодарскому краю, курирующим деятельность Отдела централизованной бухгалтерии, и в день представления отчетности главным администратором средств федерального бюджета в МОУ ФК направляются в Управление централизованной бухгалтерии, Управление бюджетного учета и отчетности Федерального казначейства и Отдел отчетности об исполнении федерального бюджета МОУ ФК.</w:t>
      </w:r>
    </w:p>
    <w:p w:rsidR="000B131E" w:rsidRDefault="000B131E">
      <w:pPr>
        <w:pStyle w:val="ConsPlusNormal"/>
        <w:spacing w:before="220"/>
        <w:ind w:firstLine="540"/>
        <w:jc w:val="both"/>
      </w:pPr>
      <w:r>
        <w:t>2.9. С учетом показателей Консолидированных сведений Отдел отчетности об исполнении федерального бюджета МОУ ФК осуществляет проверку и анализ сводной (консолидированной) Отчетности, представляемой соответствующим главным администратором средств федерального бюджета в МОУ ФК, путем:</w:t>
      </w:r>
    </w:p>
    <w:p w:rsidR="000B131E" w:rsidRDefault="000B131E">
      <w:pPr>
        <w:pStyle w:val="ConsPlusNormal"/>
        <w:spacing w:before="220"/>
        <w:ind w:firstLine="540"/>
        <w:jc w:val="both"/>
      </w:pPr>
      <w:r>
        <w:t>оценки допустимости арифметических и логических ошибок в показателях Отчетности субъектов мониторинга;</w:t>
      </w:r>
    </w:p>
    <w:p w:rsidR="000B131E" w:rsidRDefault="000B131E">
      <w:pPr>
        <w:pStyle w:val="ConsPlusNormal"/>
        <w:spacing w:before="220"/>
        <w:ind w:firstLine="540"/>
        <w:jc w:val="both"/>
      </w:pPr>
      <w:r>
        <w:t>оценки фактов невыполнения субъектами мониторинга обязательных требований по раскрытию информации в составе пояснительной записки к Отчетности;</w:t>
      </w:r>
    </w:p>
    <w:p w:rsidR="000B131E" w:rsidRDefault="000B131E">
      <w:pPr>
        <w:pStyle w:val="ConsPlusNormal"/>
        <w:spacing w:before="220"/>
        <w:ind w:firstLine="540"/>
        <w:jc w:val="both"/>
      </w:pPr>
      <w:r>
        <w:t>оценки допустимости отклонений показателей Отчетности субъектов мониторинга от показателей кассового исполнения федерального бюджета, а также показателей утвержденных и (или) доведенных бюджетных данных отраженным на лицевых счетах субъектов мониторинга, открытых в соответствующем ТОФК;</w:t>
      </w:r>
    </w:p>
    <w:p w:rsidR="000B131E" w:rsidRDefault="000B131E">
      <w:pPr>
        <w:pStyle w:val="ConsPlusNormal"/>
        <w:spacing w:before="220"/>
        <w:ind w:firstLine="540"/>
        <w:jc w:val="both"/>
      </w:pPr>
      <w:r>
        <w:t>оценки допустимости отклонения показателей Отчетности субъектов мониторинга от показателей бюджетных и денежных обязательств, учтенных соответствующим ТОФК.</w:t>
      </w: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pPr>
    </w:p>
    <w:p w:rsidR="000B131E" w:rsidRDefault="000B131E">
      <w:pPr>
        <w:pStyle w:val="ConsPlusNormal"/>
        <w:jc w:val="right"/>
      </w:pPr>
    </w:p>
    <w:p w:rsidR="000B131E" w:rsidRDefault="000B131E">
      <w:pPr>
        <w:sectPr w:rsidR="000B131E" w:rsidSect="00CA0CD3">
          <w:pgSz w:w="11906" w:h="16838"/>
          <w:pgMar w:top="1134" w:right="850" w:bottom="1134" w:left="1701" w:header="708" w:footer="708" w:gutter="0"/>
          <w:cols w:space="708"/>
          <w:docGrid w:linePitch="360"/>
        </w:sectPr>
      </w:pPr>
    </w:p>
    <w:p w:rsidR="000B131E" w:rsidRDefault="000B131E">
      <w:pPr>
        <w:pStyle w:val="ConsPlusNormal"/>
        <w:jc w:val="right"/>
        <w:outlineLvl w:val="1"/>
      </w:pPr>
      <w:r>
        <w:t>Приложение</w:t>
      </w:r>
    </w:p>
    <w:p w:rsidR="000B131E" w:rsidRDefault="000B131E">
      <w:pPr>
        <w:pStyle w:val="ConsPlusNormal"/>
        <w:jc w:val="right"/>
      </w:pPr>
      <w:r>
        <w:t>к Порядку мониторинга</w:t>
      </w:r>
    </w:p>
    <w:p w:rsidR="000B131E" w:rsidRDefault="000B131E">
      <w:pPr>
        <w:pStyle w:val="ConsPlusNormal"/>
        <w:jc w:val="right"/>
      </w:pPr>
      <w:r>
        <w:t>в Федеральном казначействе</w:t>
      </w:r>
    </w:p>
    <w:p w:rsidR="000B131E" w:rsidRDefault="000B131E">
      <w:pPr>
        <w:pStyle w:val="ConsPlusNormal"/>
        <w:jc w:val="right"/>
      </w:pPr>
      <w:r>
        <w:t>информации, представляемой</w:t>
      </w:r>
    </w:p>
    <w:p w:rsidR="000B131E" w:rsidRDefault="000B131E">
      <w:pPr>
        <w:pStyle w:val="ConsPlusNormal"/>
        <w:jc w:val="right"/>
      </w:pPr>
      <w:r>
        <w:t>в подсистему "Учет и отчетность"</w:t>
      </w:r>
    </w:p>
    <w:p w:rsidR="000B131E" w:rsidRDefault="000B131E">
      <w:pPr>
        <w:pStyle w:val="ConsPlusNormal"/>
        <w:jc w:val="right"/>
      </w:pPr>
      <w:r>
        <w:t>государственной интегрированной</w:t>
      </w:r>
    </w:p>
    <w:p w:rsidR="000B131E" w:rsidRDefault="000B131E">
      <w:pPr>
        <w:pStyle w:val="ConsPlusNormal"/>
        <w:jc w:val="right"/>
      </w:pPr>
      <w:r>
        <w:t>информационной системы управления</w:t>
      </w:r>
    </w:p>
    <w:p w:rsidR="000B131E" w:rsidRDefault="000B131E">
      <w:pPr>
        <w:pStyle w:val="ConsPlusNormal"/>
        <w:jc w:val="right"/>
      </w:pPr>
      <w:r>
        <w:t>общественными финансами</w:t>
      </w:r>
    </w:p>
    <w:p w:rsidR="000B131E" w:rsidRDefault="000B131E">
      <w:pPr>
        <w:pStyle w:val="ConsPlusNormal"/>
        <w:jc w:val="right"/>
      </w:pPr>
      <w:r>
        <w:t>"Электронный бюджет"</w:t>
      </w:r>
    </w:p>
    <w:p w:rsidR="000B131E" w:rsidRDefault="000B131E">
      <w:pPr>
        <w:pStyle w:val="ConsPlusNormal"/>
        <w:jc w:val="center"/>
      </w:pPr>
    </w:p>
    <w:p w:rsidR="000B131E" w:rsidRDefault="000B131E">
      <w:pPr>
        <w:pStyle w:val="ConsPlusNonformat"/>
        <w:jc w:val="both"/>
      </w:pPr>
      <w:bookmarkStart w:id="4" w:name="P188"/>
      <w:bookmarkEnd w:id="4"/>
      <w:r>
        <w:t xml:space="preserve">                                 Сведения</w:t>
      </w:r>
    </w:p>
    <w:p w:rsidR="000B131E" w:rsidRDefault="000B131E">
      <w:pPr>
        <w:pStyle w:val="ConsPlusNonformat"/>
        <w:jc w:val="both"/>
      </w:pPr>
      <w:r>
        <w:t xml:space="preserve">           о результатах мониторинга информации, представляемой</w:t>
      </w:r>
    </w:p>
    <w:p w:rsidR="000B131E" w:rsidRDefault="000B131E">
      <w:pPr>
        <w:pStyle w:val="ConsPlusNonformat"/>
        <w:jc w:val="both"/>
      </w:pPr>
      <w:r>
        <w:t xml:space="preserve">         в подсистему учета и отчетности ГИИС "Электронный бюджет"</w:t>
      </w:r>
    </w:p>
    <w:p w:rsidR="000B131E" w:rsidRDefault="000B131E">
      <w:pPr>
        <w:pStyle w:val="ConsPlusNonformat"/>
        <w:jc w:val="both"/>
      </w:pPr>
      <w:r>
        <w:t xml:space="preserve">                      на ___________________________</w:t>
      </w:r>
    </w:p>
    <w:p w:rsidR="000B131E" w:rsidRDefault="000B131E">
      <w:pPr>
        <w:pStyle w:val="ConsPlusNonformat"/>
        <w:jc w:val="both"/>
      </w:pPr>
    </w:p>
    <w:p w:rsidR="000B131E" w:rsidRDefault="000B131E">
      <w:pPr>
        <w:pStyle w:val="ConsPlusNonformat"/>
        <w:jc w:val="both"/>
      </w:pPr>
      <w:r>
        <w:t>Периодичность __________________________</w:t>
      </w:r>
    </w:p>
    <w:p w:rsidR="000B131E" w:rsidRDefault="000B131E">
      <w:pPr>
        <w:pStyle w:val="ConsPlusNonformat"/>
        <w:jc w:val="both"/>
      </w:pPr>
      <w:r>
        <w:t xml:space="preserve">               (квартальная, годовая)</w:t>
      </w:r>
    </w:p>
    <w:p w:rsidR="000B131E" w:rsidRDefault="000B131E">
      <w:pPr>
        <w:pStyle w:val="ConsPlusNonformat"/>
        <w:jc w:val="both"/>
      </w:pPr>
    </w:p>
    <w:p w:rsidR="000B131E" w:rsidRDefault="000B131E">
      <w:pPr>
        <w:pStyle w:val="ConsPlusNonformat"/>
        <w:jc w:val="both"/>
      </w:pPr>
      <w:r>
        <w:t>Тип сведений _______________________________________</w:t>
      </w:r>
    </w:p>
    <w:p w:rsidR="000B131E" w:rsidRDefault="000B131E">
      <w:pPr>
        <w:pStyle w:val="ConsPlusNonformat"/>
        <w:jc w:val="both"/>
      </w:pPr>
      <w:r>
        <w:t xml:space="preserve">              (по ТОФК, сводные, консолидированные)</w:t>
      </w:r>
    </w:p>
    <w:p w:rsidR="000B131E" w:rsidRDefault="000B131E">
      <w:pPr>
        <w:pStyle w:val="ConsPlusNonformat"/>
        <w:jc w:val="both"/>
      </w:pPr>
    </w:p>
    <w:p w:rsidR="000B131E" w:rsidRDefault="000B131E">
      <w:pPr>
        <w:pStyle w:val="ConsPlusNonformat"/>
        <w:jc w:val="both"/>
      </w:pPr>
      <w:r>
        <w:t>Наименование органа</w:t>
      </w:r>
    </w:p>
    <w:p w:rsidR="000B131E" w:rsidRDefault="000B131E">
      <w:pPr>
        <w:pStyle w:val="ConsPlusNonformat"/>
        <w:jc w:val="both"/>
      </w:pPr>
      <w:r>
        <w:t>Федерального казначейства _________________________________________________</w:t>
      </w:r>
    </w:p>
    <w:p w:rsidR="000B131E" w:rsidRDefault="000B131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0"/>
        <w:gridCol w:w="567"/>
        <w:gridCol w:w="567"/>
        <w:gridCol w:w="528"/>
        <w:gridCol w:w="643"/>
        <w:gridCol w:w="696"/>
        <w:gridCol w:w="454"/>
        <w:gridCol w:w="567"/>
        <w:gridCol w:w="510"/>
        <w:gridCol w:w="624"/>
        <w:gridCol w:w="567"/>
        <w:gridCol w:w="466"/>
        <w:gridCol w:w="624"/>
        <w:gridCol w:w="567"/>
        <w:gridCol w:w="567"/>
        <w:gridCol w:w="454"/>
        <w:gridCol w:w="737"/>
        <w:gridCol w:w="680"/>
        <w:gridCol w:w="454"/>
        <w:gridCol w:w="680"/>
        <w:gridCol w:w="624"/>
        <w:gridCol w:w="567"/>
        <w:gridCol w:w="456"/>
        <w:gridCol w:w="677"/>
      </w:tblGrid>
      <w:tr w:rsidR="000B131E">
        <w:tc>
          <w:tcPr>
            <w:tcW w:w="5042" w:type="dxa"/>
            <w:gridSpan w:val="9"/>
            <w:vAlign w:val="center"/>
          </w:tcPr>
          <w:p w:rsidR="000B131E" w:rsidRDefault="000B131E">
            <w:pPr>
              <w:pStyle w:val="ConsPlusNormal"/>
              <w:jc w:val="center"/>
            </w:pPr>
            <w:bookmarkStart w:id="5" w:name="P202"/>
            <w:bookmarkEnd w:id="5"/>
            <w:r>
              <w:t>1. Общие сведения</w:t>
            </w:r>
          </w:p>
        </w:tc>
        <w:tc>
          <w:tcPr>
            <w:tcW w:w="510" w:type="dxa"/>
            <w:vMerge w:val="restart"/>
            <w:vAlign w:val="center"/>
          </w:tcPr>
          <w:p w:rsidR="000B131E" w:rsidRDefault="000B131E">
            <w:pPr>
              <w:pStyle w:val="ConsPlusNormal"/>
              <w:jc w:val="center"/>
            </w:pPr>
            <w:r>
              <w:t>Код формы</w:t>
            </w:r>
          </w:p>
        </w:tc>
        <w:tc>
          <w:tcPr>
            <w:tcW w:w="1657" w:type="dxa"/>
            <w:gridSpan w:val="3"/>
            <w:vAlign w:val="center"/>
          </w:tcPr>
          <w:p w:rsidR="000B131E" w:rsidRDefault="000B131E">
            <w:pPr>
              <w:pStyle w:val="ConsPlusNormal"/>
              <w:jc w:val="center"/>
            </w:pPr>
            <w:bookmarkStart w:id="6" w:name="P204"/>
            <w:bookmarkEnd w:id="6"/>
            <w:r>
              <w:t>2. Сведения об арифметических и логических ошибках, требующих дополнительного контроля</w:t>
            </w:r>
          </w:p>
        </w:tc>
        <w:tc>
          <w:tcPr>
            <w:tcW w:w="2212" w:type="dxa"/>
            <w:gridSpan w:val="4"/>
            <w:vAlign w:val="center"/>
          </w:tcPr>
          <w:p w:rsidR="000B131E" w:rsidRDefault="000B131E">
            <w:pPr>
              <w:pStyle w:val="ConsPlusNormal"/>
              <w:jc w:val="center"/>
            </w:pPr>
            <w:bookmarkStart w:id="7" w:name="P205"/>
            <w:bookmarkEnd w:id="7"/>
            <w:r>
              <w:t>3. Сведения о несоответствии показателей данным классификаторов и справочников</w:t>
            </w:r>
          </w:p>
        </w:tc>
        <w:tc>
          <w:tcPr>
            <w:tcW w:w="1871" w:type="dxa"/>
            <w:gridSpan w:val="3"/>
            <w:vAlign w:val="center"/>
          </w:tcPr>
          <w:p w:rsidR="000B131E" w:rsidRDefault="000B131E">
            <w:pPr>
              <w:pStyle w:val="ConsPlusNormal"/>
              <w:jc w:val="center"/>
            </w:pPr>
            <w:bookmarkStart w:id="8" w:name="P206"/>
            <w:bookmarkEnd w:id="8"/>
            <w:r>
              <w:t>4. Сведения о невыполнении обязательных требований по раскрытию информации о пояснительной записке</w:t>
            </w:r>
          </w:p>
        </w:tc>
        <w:tc>
          <w:tcPr>
            <w:tcW w:w="2327" w:type="dxa"/>
            <w:gridSpan w:val="4"/>
            <w:vAlign w:val="center"/>
          </w:tcPr>
          <w:p w:rsidR="000B131E" w:rsidRDefault="000B131E">
            <w:pPr>
              <w:pStyle w:val="ConsPlusNormal"/>
              <w:jc w:val="center"/>
            </w:pPr>
            <w:bookmarkStart w:id="9" w:name="P207"/>
            <w:bookmarkEnd w:id="9"/>
            <w:r>
              <w:t>5. Сведения о несоответствии показателей бюджетных и денежных обязательствах, требующих дополнительного контроля</w:t>
            </w:r>
          </w:p>
        </w:tc>
        <w:tc>
          <w:tcPr>
            <w:tcW w:w="677" w:type="dxa"/>
            <w:vMerge w:val="restart"/>
            <w:vAlign w:val="center"/>
          </w:tcPr>
          <w:p w:rsidR="000B131E" w:rsidRDefault="000B131E">
            <w:pPr>
              <w:pStyle w:val="ConsPlusNormal"/>
              <w:jc w:val="center"/>
            </w:pPr>
            <w:r>
              <w:t>Примечание</w:t>
            </w:r>
          </w:p>
        </w:tc>
      </w:tr>
      <w:tr w:rsidR="000B131E">
        <w:tc>
          <w:tcPr>
            <w:tcW w:w="510" w:type="dxa"/>
            <w:vMerge w:val="restart"/>
            <w:vAlign w:val="center"/>
          </w:tcPr>
          <w:p w:rsidR="000B131E" w:rsidRDefault="000B131E">
            <w:pPr>
              <w:pStyle w:val="ConsPlusNormal"/>
              <w:jc w:val="center"/>
            </w:pPr>
            <w:r>
              <w:t>Код ТОФК</w:t>
            </w:r>
          </w:p>
        </w:tc>
        <w:tc>
          <w:tcPr>
            <w:tcW w:w="1077" w:type="dxa"/>
            <w:gridSpan w:val="2"/>
            <w:vAlign w:val="center"/>
          </w:tcPr>
          <w:p w:rsidR="000B131E" w:rsidRDefault="000B131E">
            <w:pPr>
              <w:pStyle w:val="ConsPlusNormal"/>
              <w:jc w:val="center"/>
            </w:pPr>
            <w:r>
              <w:t>Глава по БК</w:t>
            </w:r>
          </w:p>
        </w:tc>
        <w:tc>
          <w:tcPr>
            <w:tcW w:w="1738" w:type="dxa"/>
            <w:gridSpan w:val="3"/>
            <w:vAlign w:val="center"/>
          </w:tcPr>
          <w:p w:rsidR="000B131E" w:rsidRDefault="000B131E">
            <w:pPr>
              <w:pStyle w:val="ConsPlusNormal"/>
              <w:jc w:val="center"/>
            </w:pPr>
            <w:r>
              <w:t>УБП/НУБП</w:t>
            </w:r>
          </w:p>
        </w:tc>
        <w:tc>
          <w:tcPr>
            <w:tcW w:w="696" w:type="dxa"/>
            <w:vMerge w:val="restart"/>
            <w:vAlign w:val="center"/>
          </w:tcPr>
          <w:p w:rsidR="000B131E" w:rsidRDefault="000B131E">
            <w:pPr>
              <w:pStyle w:val="ConsPlusNormal"/>
              <w:jc w:val="center"/>
            </w:pPr>
            <w:r>
              <w:t>Состав информации</w:t>
            </w:r>
          </w:p>
        </w:tc>
        <w:tc>
          <w:tcPr>
            <w:tcW w:w="1021" w:type="dxa"/>
            <w:gridSpan w:val="2"/>
            <w:vAlign w:val="center"/>
          </w:tcPr>
          <w:p w:rsidR="000B131E" w:rsidRDefault="000B131E">
            <w:pPr>
              <w:pStyle w:val="ConsPlusNormal"/>
              <w:jc w:val="center"/>
            </w:pPr>
            <w:r>
              <w:t>Срок представления информации</w:t>
            </w:r>
          </w:p>
        </w:tc>
        <w:tc>
          <w:tcPr>
            <w:tcW w:w="510" w:type="dxa"/>
            <w:vMerge/>
          </w:tcPr>
          <w:p w:rsidR="000B131E" w:rsidRDefault="000B131E"/>
        </w:tc>
        <w:tc>
          <w:tcPr>
            <w:tcW w:w="624" w:type="dxa"/>
            <w:vMerge w:val="restart"/>
            <w:vAlign w:val="center"/>
          </w:tcPr>
          <w:p w:rsidR="000B131E" w:rsidRDefault="000B131E">
            <w:pPr>
              <w:pStyle w:val="ConsPlusNormal"/>
              <w:jc w:val="center"/>
            </w:pPr>
            <w:r>
              <w:t>Наличие арифметических и логических ошибок</w:t>
            </w:r>
          </w:p>
        </w:tc>
        <w:tc>
          <w:tcPr>
            <w:tcW w:w="567" w:type="dxa"/>
            <w:vMerge w:val="restart"/>
            <w:vAlign w:val="center"/>
          </w:tcPr>
          <w:p w:rsidR="000B131E" w:rsidRDefault="000B131E">
            <w:pPr>
              <w:pStyle w:val="ConsPlusNormal"/>
              <w:jc w:val="center"/>
            </w:pPr>
            <w:r>
              <w:t>Код ошибки/тип контроля</w:t>
            </w:r>
          </w:p>
        </w:tc>
        <w:tc>
          <w:tcPr>
            <w:tcW w:w="466" w:type="dxa"/>
            <w:vMerge w:val="restart"/>
            <w:vAlign w:val="center"/>
          </w:tcPr>
          <w:p w:rsidR="000B131E" w:rsidRDefault="000B131E">
            <w:pPr>
              <w:pStyle w:val="ConsPlusNormal"/>
              <w:jc w:val="center"/>
            </w:pPr>
            <w:r>
              <w:t>Комментарий</w:t>
            </w:r>
          </w:p>
        </w:tc>
        <w:tc>
          <w:tcPr>
            <w:tcW w:w="624" w:type="dxa"/>
            <w:vMerge w:val="restart"/>
            <w:vAlign w:val="center"/>
          </w:tcPr>
          <w:p w:rsidR="000B131E" w:rsidRDefault="000B131E">
            <w:pPr>
              <w:pStyle w:val="ConsPlusNormal"/>
              <w:jc w:val="center"/>
            </w:pPr>
            <w:r>
              <w:t>Соответствие показателей данным классификаторов и справочников</w:t>
            </w:r>
          </w:p>
        </w:tc>
        <w:tc>
          <w:tcPr>
            <w:tcW w:w="567" w:type="dxa"/>
            <w:vMerge w:val="restart"/>
            <w:vAlign w:val="center"/>
          </w:tcPr>
          <w:p w:rsidR="000B131E" w:rsidRDefault="000B131E">
            <w:pPr>
              <w:pStyle w:val="ConsPlusNormal"/>
              <w:jc w:val="center"/>
            </w:pPr>
            <w:r>
              <w:t>Наименование классификатора или справочника</w:t>
            </w:r>
          </w:p>
        </w:tc>
        <w:tc>
          <w:tcPr>
            <w:tcW w:w="567" w:type="dxa"/>
            <w:vMerge w:val="restart"/>
            <w:vAlign w:val="center"/>
          </w:tcPr>
          <w:p w:rsidR="000B131E" w:rsidRDefault="000B131E">
            <w:pPr>
              <w:pStyle w:val="ConsPlusNormal"/>
              <w:jc w:val="center"/>
            </w:pPr>
            <w:r>
              <w:t>Отсутствующий код показателя</w:t>
            </w:r>
          </w:p>
        </w:tc>
        <w:tc>
          <w:tcPr>
            <w:tcW w:w="454" w:type="dxa"/>
            <w:vMerge w:val="restart"/>
            <w:vAlign w:val="center"/>
          </w:tcPr>
          <w:p w:rsidR="000B131E" w:rsidRDefault="000B131E">
            <w:pPr>
              <w:pStyle w:val="ConsPlusNormal"/>
              <w:jc w:val="center"/>
            </w:pPr>
            <w:r>
              <w:t>Комментарий</w:t>
            </w:r>
          </w:p>
        </w:tc>
        <w:tc>
          <w:tcPr>
            <w:tcW w:w="737" w:type="dxa"/>
            <w:vMerge w:val="restart"/>
            <w:vAlign w:val="center"/>
          </w:tcPr>
          <w:p w:rsidR="000B131E" w:rsidRDefault="000B131E">
            <w:pPr>
              <w:pStyle w:val="ConsPlusNormal"/>
              <w:jc w:val="center"/>
            </w:pPr>
            <w:r>
              <w:t>Раскрытие информации о составе пояснительной записки</w:t>
            </w:r>
          </w:p>
        </w:tc>
        <w:tc>
          <w:tcPr>
            <w:tcW w:w="680" w:type="dxa"/>
            <w:vMerge w:val="restart"/>
            <w:vAlign w:val="center"/>
          </w:tcPr>
          <w:p w:rsidR="000B131E" w:rsidRDefault="000B131E">
            <w:pPr>
              <w:pStyle w:val="ConsPlusNormal"/>
              <w:jc w:val="center"/>
            </w:pPr>
            <w:r>
              <w:t>Содержание обязательного требования</w:t>
            </w:r>
          </w:p>
        </w:tc>
        <w:tc>
          <w:tcPr>
            <w:tcW w:w="454" w:type="dxa"/>
            <w:vMerge w:val="restart"/>
            <w:vAlign w:val="center"/>
          </w:tcPr>
          <w:p w:rsidR="000B131E" w:rsidRDefault="000B131E">
            <w:pPr>
              <w:pStyle w:val="ConsPlusNormal"/>
              <w:jc w:val="center"/>
            </w:pPr>
            <w:r>
              <w:t>Комментарий</w:t>
            </w:r>
          </w:p>
        </w:tc>
        <w:tc>
          <w:tcPr>
            <w:tcW w:w="680" w:type="dxa"/>
            <w:vMerge w:val="restart"/>
            <w:vAlign w:val="center"/>
          </w:tcPr>
          <w:p w:rsidR="000B131E" w:rsidRDefault="000B131E">
            <w:pPr>
              <w:pStyle w:val="ConsPlusNormal"/>
              <w:jc w:val="center"/>
            </w:pPr>
            <w:r>
              <w:t>Соответствие показателей бюджетных и денежных обязательств</w:t>
            </w:r>
          </w:p>
        </w:tc>
        <w:tc>
          <w:tcPr>
            <w:tcW w:w="1191" w:type="dxa"/>
            <w:gridSpan w:val="2"/>
            <w:vAlign w:val="center"/>
          </w:tcPr>
          <w:p w:rsidR="000B131E" w:rsidRDefault="000B131E">
            <w:pPr>
              <w:pStyle w:val="ConsPlusNormal"/>
              <w:jc w:val="center"/>
            </w:pPr>
            <w:r>
              <w:t>Сумма расхождений</w:t>
            </w:r>
          </w:p>
        </w:tc>
        <w:tc>
          <w:tcPr>
            <w:tcW w:w="456" w:type="dxa"/>
            <w:vMerge w:val="restart"/>
            <w:vAlign w:val="center"/>
          </w:tcPr>
          <w:p w:rsidR="000B131E" w:rsidRDefault="000B131E">
            <w:pPr>
              <w:pStyle w:val="ConsPlusNormal"/>
              <w:jc w:val="center"/>
            </w:pPr>
            <w:r>
              <w:t>Комментарий</w:t>
            </w:r>
          </w:p>
        </w:tc>
        <w:tc>
          <w:tcPr>
            <w:tcW w:w="677" w:type="dxa"/>
            <w:vMerge/>
          </w:tcPr>
          <w:p w:rsidR="000B131E" w:rsidRDefault="000B131E"/>
        </w:tc>
      </w:tr>
      <w:tr w:rsidR="000B131E">
        <w:tc>
          <w:tcPr>
            <w:tcW w:w="510" w:type="dxa"/>
            <w:vMerge/>
          </w:tcPr>
          <w:p w:rsidR="000B131E" w:rsidRDefault="000B131E"/>
        </w:tc>
        <w:tc>
          <w:tcPr>
            <w:tcW w:w="510" w:type="dxa"/>
            <w:vAlign w:val="center"/>
          </w:tcPr>
          <w:p w:rsidR="000B131E" w:rsidRDefault="000B131E">
            <w:pPr>
              <w:pStyle w:val="ConsPlusNormal"/>
              <w:jc w:val="center"/>
            </w:pPr>
            <w:r>
              <w:t>Код</w:t>
            </w:r>
          </w:p>
        </w:tc>
        <w:tc>
          <w:tcPr>
            <w:tcW w:w="567" w:type="dxa"/>
            <w:vAlign w:val="center"/>
          </w:tcPr>
          <w:p w:rsidR="000B131E" w:rsidRDefault="000B131E">
            <w:pPr>
              <w:pStyle w:val="ConsPlusNormal"/>
              <w:jc w:val="center"/>
            </w:pPr>
            <w:r>
              <w:t>Наименование</w:t>
            </w:r>
          </w:p>
        </w:tc>
        <w:tc>
          <w:tcPr>
            <w:tcW w:w="567" w:type="dxa"/>
            <w:vAlign w:val="center"/>
          </w:tcPr>
          <w:p w:rsidR="000B131E" w:rsidRDefault="000B131E">
            <w:pPr>
              <w:pStyle w:val="ConsPlusNormal"/>
              <w:jc w:val="center"/>
            </w:pPr>
            <w:r>
              <w:t>Код</w:t>
            </w:r>
          </w:p>
        </w:tc>
        <w:tc>
          <w:tcPr>
            <w:tcW w:w="528" w:type="dxa"/>
            <w:vAlign w:val="center"/>
          </w:tcPr>
          <w:p w:rsidR="000B131E" w:rsidRDefault="000B131E">
            <w:pPr>
              <w:pStyle w:val="ConsPlusNormal"/>
              <w:jc w:val="center"/>
            </w:pPr>
            <w:r>
              <w:t>Наименование</w:t>
            </w:r>
          </w:p>
        </w:tc>
        <w:tc>
          <w:tcPr>
            <w:tcW w:w="643" w:type="dxa"/>
            <w:vAlign w:val="center"/>
          </w:tcPr>
          <w:p w:rsidR="000B131E" w:rsidRDefault="000B131E">
            <w:pPr>
              <w:pStyle w:val="ConsPlusNormal"/>
              <w:jc w:val="center"/>
            </w:pPr>
            <w:r>
              <w:t>Код типа субъекта мониторинга</w:t>
            </w:r>
          </w:p>
        </w:tc>
        <w:tc>
          <w:tcPr>
            <w:tcW w:w="696" w:type="dxa"/>
            <w:vMerge/>
          </w:tcPr>
          <w:p w:rsidR="000B131E" w:rsidRDefault="000B131E"/>
        </w:tc>
        <w:tc>
          <w:tcPr>
            <w:tcW w:w="454" w:type="dxa"/>
            <w:vAlign w:val="center"/>
          </w:tcPr>
          <w:p w:rsidR="000B131E" w:rsidRDefault="000B131E">
            <w:pPr>
              <w:pStyle w:val="ConsPlusNormal"/>
              <w:jc w:val="center"/>
            </w:pPr>
            <w:r>
              <w:t>регламентированный</w:t>
            </w:r>
          </w:p>
        </w:tc>
        <w:tc>
          <w:tcPr>
            <w:tcW w:w="567" w:type="dxa"/>
            <w:vAlign w:val="center"/>
          </w:tcPr>
          <w:p w:rsidR="000B131E" w:rsidRDefault="000B131E">
            <w:pPr>
              <w:pStyle w:val="ConsPlusNormal"/>
              <w:jc w:val="center"/>
            </w:pPr>
            <w:r>
              <w:t>фактический</w:t>
            </w:r>
          </w:p>
        </w:tc>
        <w:tc>
          <w:tcPr>
            <w:tcW w:w="510" w:type="dxa"/>
            <w:vMerge/>
          </w:tcPr>
          <w:p w:rsidR="000B131E" w:rsidRDefault="000B131E"/>
        </w:tc>
        <w:tc>
          <w:tcPr>
            <w:tcW w:w="624" w:type="dxa"/>
            <w:vMerge/>
          </w:tcPr>
          <w:p w:rsidR="000B131E" w:rsidRDefault="000B131E"/>
        </w:tc>
        <w:tc>
          <w:tcPr>
            <w:tcW w:w="567" w:type="dxa"/>
            <w:vMerge/>
          </w:tcPr>
          <w:p w:rsidR="000B131E" w:rsidRDefault="000B131E"/>
        </w:tc>
        <w:tc>
          <w:tcPr>
            <w:tcW w:w="466" w:type="dxa"/>
            <w:vMerge/>
          </w:tcPr>
          <w:p w:rsidR="000B131E" w:rsidRDefault="000B131E"/>
        </w:tc>
        <w:tc>
          <w:tcPr>
            <w:tcW w:w="624" w:type="dxa"/>
            <w:vMerge/>
          </w:tcPr>
          <w:p w:rsidR="000B131E" w:rsidRDefault="000B131E"/>
        </w:tc>
        <w:tc>
          <w:tcPr>
            <w:tcW w:w="567" w:type="dxa"/>
            <w:vMerge/>
          </w:tcPr>
          <w:p w:rsidR="000B131E" w:rsidRDefault="000B131E"/>
        </w:tc>
        <w:tc>
          <w:tcPr>
            <w:tcW w:w="567" w:type="dxa"/>
            <w:vMerge/>
          </w:tcPr>
          <w:p w:rsidR="000B131E" w:rsidRDefault="000B131E"/>
        </w:tc>
        <w:tc>
          <w:tcPr>
            <w:tcW w:w="454" w:type="dxa"/>
            <w:vMerge/>
          </w:tcPr>
          <w:p w:rsidR="000B131E" w:rsidRDefault="000B131E"/>
        </w:tc>
        <w:tc>
          <w:tcPr>
            <w:tcW w:w="737" w:type="dxa"/>
            <w:vMerge/>
          </w:tcPr>
          <w:p w:rsidR="000B131E" w:rsidRDefault="000B131E"/>
        </w:tc>
        <w:tc>
          <w:tcPr>
            <w:tcW w:w="680" w:type="dxa"/>
            <w:vMerge/>
          </w:tcPr>
          <w:p w:rsidR="000B131E" w:rsidRDefault="000B131E"/>
        </w:tc>
        <w:tc>
          <w:tcPr>
            <w:tcW w:w="454" w:type="dxa"/>
            <w:vMerge/>
          </w:tcPr>
          <w:p w:rsidR="000B131E" w:rsidRDefault="000B131E"/>
        </w:tc>
        <w:tc>
          <w:tcPr>
            <w:tcW w:w="680" w:type="dxa"/>
            <w:vMerge/>
          </w:tcPr>
          <w:p w:rsidR="000B131E" w:rsidRDefault="000B131E"/>
        </w:tc>
        <w:tc>
          <w:tcPr>
            <w:tcW w:w="624" w:type="dxa"/>
            <w:vAlign w:val="center"/>
          </w:tcPr>
          <w:p w:rsidR="000B131E" w:rsidRDefault="000B131E">
            <w:pPr>
              <w:pStyle w:val="ConsPlusNormal"/>
              <w:jc w:val="center"/>
            </w:pPr>
            <w:r>
              <w:t>по бюджетным обязательствам</w:t>
            </w:r>
          </w:p>
        </w:tc>
        <w:tc>
          <w:tcPr>
            <w:tcW w:w="567" w:type="dxa"/>
            <w:vAlign w:val="center"/>
          </w:tcPr>
          <w:p w:rsidR="000B131E" w:rsidRDefault="000B131E">
            <w:pPr>
              <w:pStyle w:val="ConsPlusNormal"/>
              <w:jc w:val="center"/>
            </w:pPr>
            <w:r>
              <w:t>по денежным обязательствам</w:t>
            </w:r>
          </w:p>
        </w:tc>
        <w:tc>
          <w:tcPr>
            <w:tcW w:w="456" w:type="dxa"/>
            <w:vMerge/>
          </w:tcPr>
          <w:p w:rsidR="000B131E" w:rsidRDefault="000B131E"/>
        </w:tc>
        <w:tc>
          <w:tcPr>
            <w:tcW w:w="677" w:type="dxa"/>
            <w:vMerge/>
          </w:tcPr>
          <w:p w:rsidR="000B131E" w:rsidRDefault="000B131E"/>
        </w:tc>
      </w:tr>
      <w:tr w:rsidR="000B131E">
        <w:tc>
          <w:tcPr>
            <w:tcW w:w="510" w:type="dxa"/>
            <w:vAlign w:val="center"/>
          </w:tcPr>
          <w:p w:rsidR="000B131E" w:rsidRDefault="000B131E">
            <w:pPr>
              <w:pStyle w:val="ConsPlusNormal"/>
              <w:jc w:val="center"/>
            </w:pPr>
            <w:bookmarkStart w:id="10" w:name="P236"/>
            <w:bookmarkEnd w:id="10"/>
            <w:r>
              <w:t>1</w:t>
            </w:r>
          </w:p>
        </w:tc>
        <w:tc>
          <w:tcPr>
            <w:tcW w:w="510" w:type="dxa"/>
            <w:vAlign w:val="center"/>
          </w:tcPr>
          <w:p w:rsidR="000B131E" w:rsidRDefault="000B131E">
            <w:pPr>
              <w:pStyle w:val="ConsPlusNormal"/>
              <w:jc w:val="center"/>
            </w:pPr>
            <w:bookmarkStart w:id="11" w:name="P237"/>
            <w:bookmarkEnd w:id="11"/>
            <w:r>
              <w:t>2</w:t>
            </w:r>
          </w:p>
        </w:tc>
        <w:tc>
          <w:tcPr>
            <w:tcW w:w="567" w:type="dxa"/>
            <w:vAlign w:val="center"/>
          </w:tcPr>
          <w:p w:rsidR="000B131E" w:rsidRDefault="000B131E">
            <w:pPr>
              <w:pStyle w:val="ConsPlusNormal"/>
              <w:jc w:val="center"/>
            </w:pPr>
            <w:bookmarkStart w:id="12" w:name="P238"/>
            <w:bookmarkEnd w:id="12"/>
            <w:r>
              <w:t>3</w:t>
            </w:r>
          </w:p>
        </w:tc>
        <w:tc>
          <w:tcPr>
            <w:tcW w:w="567" w:type="dxa"/>
            <w:vAlign w:val="center"/>
          </w:tcPr>
          <w:p w:rsidR="000B131E" w:rsidRDefault="000B131E">
            <w:pPr>
              <w:pStyle w:val="ConsPlusNormal"/>
              <w:jc w:val="center"/>
            </w:pPr>
            <w:bookmarkStart w:id="13" w:name="P239"/>
            <w:bookmarkEnd w:id="13"/>
            <w:r>
              <w:t>4</w:t>
            </w:r>
          </w:p>
        </w:tc>
        <w:tc>
          <w:tcPr>
            <w:tcW w:w="528" w:type="dxa"/>
            <w:vAlign w:val="center"/>
          </w:tcPr>
          <w:p w:rsidR="000B131E" w:rsidRDefault="000B131E">
            <w:pPr>
              <w:pStyle w:val="ConsPlusNormal"/>
              <w:jc w:val="center"/>
            </w:pPr>
            <w:bookmarkStart w:id="14" w:name="P240"/>
            <w:bookmarkEnd w:id="14"/>
            <w:r>
              <w:t>5</w:t>
            </w:r>
          </w:p>
        </w:tc>
        <w:tc>
          <w:tcPr>
            <w:tcW w:w="643" w:type="dxa"/>
            <w:vAlign w:val="center"/>
          </w:tcPr>
          <w:p w:rsidR="000B131E" w:rsidRDefault="000B131E">
            <w:pPr>
              <w:pStyle w:val="ConsPlusNormal"/>
              <w:jc w:val="center"/>
            </w:pPr>
            <w:bookmarkStart w:id="15" w:name="P241"/>
            <w:bookmarkEnd w:id="15"/>
            <w:r>
              <w:t>6</w:t>
            </w:r>
          </w:p>
        </w:tc>
        <w:tc>
          <w:tcPr>
            <w:tcW w:w="696" w:type="dxa"/>
            <w:vAlign w:val="center"/>
          </w:tcPr>
          <w:p w:rsidR="000B131E" w:rsidRDefault="000B131E">
            <w:pPr>
              <w:pStyle w:val="ConsPlusNormal"/>
              <w:jc w:val="center"/>
            </w:pPr>
            <w:bookmarkStart w:id="16" w:name="P242"/>
            <w:bookmarkEnd w:id="16"/>
            <w:r>
              <w:t>7</w:t>
            </w:r>
          </w:p>
        </w:tc>
        <w:tc>
          <w:tcPr>
            <w:tcW w:w="454" w:type="dxa"/>
            <w:vAlign w:val="center"/>
          </w:tcPr>
          <w:p w:rsidR="000B131E" w:rsidRDefault="000B131E">
            <w:pPr>
              <w:pStyle w:val="ConsPlusNormal"/>
              <w:jc w:val="center"/>
            </w:pPr>
            <w:bookmarkStart w:id="17" w:name="P243"/>
            <w:bookmarkEnd w:id="17"/>
            <w:r>
              <w:t>8</w:t>
            </w:r>
          </w:p>
        </w:tc>
        <w:tc>
          <w:tcPr>
            <w:tcW w:w="567" w:type="dxa"/>
            <w:vAlign w:val="center"/>
          </w:tcPr>
          <w:p w:rsidR="000B131E" w:rsidRDefault="000B131E">
            <w:pPr>
              <w:pStyle w:val="ConsPlusNormal"/>
              <w:jc w:val="center"/>
            </w:pPr>
            <w:bookmarkStart w:id="18" w:name="P244"/>
            <w:bookmarkEnd w:id="18"/>
            <w:r>
              <w:t>9</w:t>
            </w:r>
          </w:p>
        </w:tc>
        <w:tc>
          <w:tcPr>
            <w:tcW w:w="510" w:type="dxa"/>
            <w:vAlign w:val="center"/>
          </w:tcPr>
          <w:p w:rsidR="000B131E" w:rsidRDefault="000B131E">
            <w:pPr>
              <w:pStyle w:val="ConsPlusNormal"/>
              <w:jc w:val="center"/>
            </w:pPr>
            <w:bookmarkStart w:id="19" w:name="P245"/>
            <w:bookmarkEnd w:id="19"/>
            <w:r>
              <w:t>10</w:t>
            </w:r>
          </w:p>
        </w:tc>
        <w:tc>
          <w:tcPr>
            <w:tcW w:w="624" w:type="dxa"/>
            <w:vAlign w:val="center"/>
          </w:tcPr>
          <w:p w:rsidR="000B131E" w:rsidRDefault="000B131E">
            <w:pPr>
              <w:pStyle w:val="ConsPlusNormal"/>
              <w:jc w:val="center"/>
            </w:pPr>
            <w:bookmarkStart w:id="20" w:name="P246"/>
            <w:bookmarkEnd w:id="20"/>
            <w:r>
              <w:t>11</w:t>
            </w:r>
          </w:p>
        </w:tc>
        <w:tc>
          <w:tcPr>
            <w:tcW w:w="567" w:type="dxa"/>
            <w:vAlign w:val="center"/>
          </w:tcPr>
          <w:p w:rsidR="000B131E" w:rsidRDefault="000B131E">
            <w:pPr>
              <w:pStyle w:val="ConsPlusNormal"/>
              <w:jc w:val="center"/>
            </w:pPr>
            <w:bookmarkStart w:id="21" w:name="P247"/>
            <w:bookmarkEnd w:id="21"/>
            <w:r>
              <w:t>12</w:t>
            </w:r>
          </w:p>
        </w:tc>
        <w:tc>
          <w:tcPr>
            <w:tcW w:w="466" w:type="dxa"/>
            <w:vAlign w:val="center"/>
          </w:tcPr>
          <w:p w:rsidR="000B131E" w:rsidRDefault="000B131E">
            <w:pPr>
              <w:pStyle w:val="ConsPlusNormal"/>
              <w:jc w:val="center"/>
            </w:pPr>
            <w:bookmarkStart w:id="22" w:name="P248"/>
            <w:bookmarkEnd w:id="22"/>
            <w:r>
              <w:t>13</w:t>
            </w:r>
          </w:p>
        </w:tc>
        <w:tc>
          <w:tcPr>
            <w:tcW w:w="624" w:type="dxa"/>
            <w:vAlign w:val="center"/>
          </w:tcPr>
          <w:p w:rsidR="000B131E" w:rsidRDefault="000B131E">
            <w:pPr>
              <w:pStyle w:val="ConsPlusNormal"/>
              <w:jc w:val="center"/>
            </w:pPr>
            <w:bookmarkStart w:id="23" w:name="P249"/>
            <w:bookmarkEnd w:id="23"/>
            <w:r>
              <w:t>14</w:t>
            </w:r>
          </w:p>
        </w:tc>
        <w:tc>
          <w:tcPr>
            <w:tcW w:w="567" w:type="dxa"/>
            <w:vAlign w:val="center"/>
          </w:tcPr>
          <w:p w:rsidR="000B131E" w:rsidRDefault="000B131E">
            <w:pPr>
              <w:pStyle w:val="ConsPlusNormal"/>
              <w:jc w:val="center"/>
            </w:pPr>
            <w:bookmarkStart w:id="24" w:name="P250"/>
            <w:bookmarkEnd w:id="24"/>
            <w:r>
              <w:t>15</w:t>
            </w:r>
          </w:p>
        </w:tc>
        <w:tc>
          <w:tcPr>
            <w:tcW w:w="567" w:type="dxa"/>
            <w:vAlign w:val="center"/>
          </w:tcPr>
          <w:p w:rsidR="000B131E" w:rsidRDefault="000B131E">
            <w:pPr>
              <w:pStyle w:val="ConsPlusNormal"/>
              <w:jc w:val="center"/>
            </w:pPr>
            <w:bookmarkStart w:id="25" w:name="P251"/>
            <w:bookmarkEnd w:id="25"/>
            <w:r>
              <w:t>16</w:t>
            </w:r>
          </w:p>
        </w:tc>
        <w:tc>
          <w:tcPr>
            <w:tcW w:w="454" w:type="dxa"/>
            <w:vAlign w:val="center"/>
          </w:tcPr>
          <w:p w:rsidR="000B131E" w:rsidRDefault="000B131E">
            <w:pPr>
              <w:pStyle w:val="ConsPlusNormal"/>
              <w:jc w:val="center"/>
            </w:pPr>
            <w:bookmarkStart w:id="26" w:name="P252"/>
            <w:bookmarkEnd w:id="26"/>
            <w:r>
              <w:t>17</w:t>
            </w:r>
          </w:p>
        </w:tc>
        <w:tc>
          <w:tcPr>
            <w:tcW w:w="737" w:type="dxa"/>
            <w:vAlign w:val="center"/>
          </w:tcPr>
          <w:p w:rsidR="000B131E" w:rsidRDefault="000B131E">
            <w:pPr>
              <w:pStyle w:val="ConsPlusNormal"/>
              <w:jc w:val="center"/>
            </w:pPr>
            <w:bookmarkStart w:id="27" w:name="P253"/>
            <w:bookmarkEnd w:id="27"/>
            <w:r>
              <w:t>18</w:t>
            </w:r>
          </w:p>
        </w:tc>
        <w:tc>
          <w:tcPr>
            <w:tcW w:w="680" w:type="dxa"/>
            <w:vAlign w:val="center"/>
          </w:tcPr>
          <w:p w:rsidR="000B131E" w:rsidRDefault="000B131E">
            <w:pPr>
              <w:pStyle w:val="ConsPlusNormal"/>
              <w:jc w:val="center"/>
            </w:pPr>
            <w:bookmarkStart w:id="28" w:name="P254"/>
            <w:bookmarkEnd w:id="28"/>
            <w:r>
              <w:t>19</w:t>
            </w:r>
          </w:p>
        </w:tc>
        <w:tc>
          <w:tcPr>
            <w:tcW w:w="454" w:type="dxa"/>
            <w:vAlign w:val="center"/>
          </w:tcPr>
          <w:p w:rsidR="000B131E" w:rsidRDefault="000B131E">
            <w:pPr>
              <w:pStyle w:val="ConsPlusNormal"/>
              <w:jc w:val="center"/>
            </w:pPr>
            <w:bookmarkStart w:id="29" w:name="P255"/>
            <w:bookmarkEnd w:id="29"/>
            <w:r>
              <w:t>20</w:t>
            </w:r>
          </w:p>
        </w:tc>
        <w:tc>
          <w:tcPr>
            <w:tcW w:w="680" w:type="dxa"/>
            <w:vAlign w:val="center"/>
          </w:tcPr>
          <w:p w:rsidR="000B131E" w:rsidRDefault="000B131E">
            <w:pPr>
              <w:pStyle w:val="ConsPlusNormal"/>
              <w:jc w:val="center"/>
            </w:pPr>
            <w:bookmarkStart w:id="30" w:name="P256"/>
            <w:bookmarkEnd w:id="30"/>
            <w:r>
              <w:t>21</w:t>
            </w:r>
          </w:p>
        </w:tc>
        <w:tc>
          <w:tcPr>
            <w:tcW w:w="624" w:type="dxa"/>
            <w:vAlign w:val="center"/>
          </w:tcPr>
          <w:p w:rsidR="000B131E" w:rsidRDefault="000B131E">
            <w:pPr>
              <w:pStyle w:val="ConsPlusNormal"/>
              <w:jc w:val="center"/>
            </w:pPr>
            <w:bookmarkStart w:id="31" w:name="P257"/>
            <w:bookmarkEnd w:id="31"/>
            <w:r>
              <w:t>22</w:t>
            </w:r>
          </w:p>
        </w:tc>
        <w:tc>
          <w:tcPr>
            <w:tcW w:w="567" w:type="dxa"/>
            <w:vAlign w:val="center"/>
          </w:tcPr>
          <w:p w:rsidR="000B131E" w:rsidRDefault="000B131E">
            <w:pPr>
              <w:pStyle w:val="ConsPlusNormal"/>
              <w:jc w:val="center"/>
            </w:pPr>
            <w:bookmarkStart w:id="32" w:name="P258"/>
            <w:bookmarkEnd w:id="32"/>
            <w:r>
              <w:t>23</w:t>
            </w:r>
          </w:p>
        </w:tc>
        <w:tc>
          <w:tcPr>
            <w:tcW w:w="456" w:type="dxa"/>
            <w:vAlign w:val="center"/>
          </w:tcPr>
          <w:p w:rsidR="000B131E" w:rsidRDefault="000B131E">
            <w:pPr>
              <w:pStyle w:val="ConsPlusNormal"/>
              <w:jc w:val="center"/>
            </w:pPr>
            <w:bookmarkStart w:id="33" w:name="P259"/>
            <w:bookmarkEnd w:id="33"/>
            <w:r>
              <w:t>24</w:t>
            </w:r>
          </w:p>
        </w:tc>
        <w:tc>
          <w:tcPr>
            <w:tcW w:w="677" w:type="dxa"/>
            <w:vAlign w:val="center"/>
          </w:tcPr>
          <w:p w:rsidR="000B131E" w:rsidRDefault="000B131E">
            <w:pPr>
              <w:pStyle w:val="ConsPlusNormal"/>
              <w:jc w:val="center"/>
            </w:pPr>
            <w:bookmarkStart w:id="34" w:name="P260"/>
            <w:bookmarkEnd w:id="34"/>
            <w:r>
              <w:t>25</w:t>
            </w:r>
          </w:p>
        </w:tc>
      </w:tr>
      <w:tr w:rsidR="000B131E">
        <w:tc>
          <w:tcPr>
            <w:tcW w:w="510" w:type="dxa"/>
          </w:tcPr>
          <w:p w:rsidR="000B131E" w:rsidRDefault="000B131E">
            <w:pPr>
              <w:pStyle w:val="ConsPlusNormal"/>
            </w:pPr>
          </w:p>
        </w:tc>
        <w:tc>
          <w:tcPr>
            <w:tcW w:w="510" w:type="dxa"/>
          </w:tcPr>
          <w:p w:rsidR="000B131E" w:rsidRDefault="000B131E">
            <w:pPr>
              <w:pStyle w:val="ConsPlusNormal"/>
            </w:pPr>
          </w:p>
        </w:tc>
        <w:tc>
          <w:tcPr>
            <w:tcW w:w="567" w:type="dxa"/>
          </w:tcPr>
          <w:p w:rsidR="000B131E" w:rsidRDefault="000B131E">
            <w:pPr>
              <w:pStyle w:val="ConsPlusNormal"/>
            </w:pPr>
          </w:p>
        </w:tc>
        <w:tc>
          <w:tcPr>
            <w:tcW w:w="567" w:type="dxa"/>
          </w:tcPr>
          <w:p w:rsidR="000B131E" w:rsidRDefault="000B131E">
            <w:pPr>
              <w:pStyle w:val="ConsPlusNormal"/>
            </w:pPr>
          </w:p>
        </w:tc>
        <w:tc>
          <w:tcPr>
            <w:tcW w:w="528" w:type="dxa"/>
          </w:tcPr>
          <w:p w:rsidR="000B131E" w:rsidRDefault="000B131E">
            <w:pPr>
              <w:pStyle w:val="ConsPlusNormal"/>
            </w:pPr>
          </w:p>
        </w:tc>
        <w:tc>
          <w:tcPr>
            <w:tcW w:w="643" w:type="dxa"/>
          </w:tcPr>
          <w:p w:rsidR="000B131E" w:rsidRDefault="000B131E">
            <w:pPr>
              <w:pStyle w:val="ConsPlusNormal"/>
            </w:pPr>
          </w:p>
        </w:tc>
        <w:tc>
          <w:tcPr>
            <w:tcW w:w="696" w:type="dxa"/>
          </w:tcPr>
          <w:p w:rsidR="000B131E" w:rsidRDefault="000B131E">
            <w:pPr>
              <w:pStyle w:val="ConsPlusNormal"/>
            </w:pPr>
          </w:p>
        </w:tc>
        <w:tc>
          <w:tcPr>
            <w:tcW w:w="454" w:type="dxa"/>
          </w:tcPr>
          <w:p w:rsidR="000B131E" w:rsidRDefault="000B131E">
            <w:pPr>
              <w:pStyle w:val="ConsPlusNormal"/>
            </w:pPr>
          </w:p>
        </w:tc>
        <w:tc>
          <w:tcPr>
            <w:tcW w:w="567" w:type="dxa"/>
          </w:tcPr>
          <w:p w:rsidR="000B131E" w:rsidRDefault="000B131E">
            <w:pPr>
              <w:pStyle w:val="ConsPlusNormal"/>
            </w:pPr>
          </w:p>
        </w:tc>
        <w:tc>
          <w:tcPr>
            <w:tcW w:w="510"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466"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567" w:type="dxa"/>
          </w:tcPr>
          <w:p w:rsidR="000B131E" w:rsidRDefault="000B131E">
            <w:pPr>
              <w:pStyle w:val="ConsPlusNormal"/>
            </w:pPr>
          </w:p>
        </w:tc>
        <w:tc>
          <w:tcPr>
            <w:tcW w:w="454" w:type="dxa"/>
          </w:tcPr>
          <w:p w:rsidR="000B131E" w:rsidRDefault="000B131E">
            <w:pPr>
              <w:pStyle w:val="ConsPlusNormal"/>
            </w:pPr>
          </w:p>
        </w:tc>
        <w:tc>
          <w:tcPr>
            <w:tcW w:w="737" w:type="dxa"/>
          </w:tcPr>
          <w:p w:rsidR="000B131E" w:rsidRDefault="000B131E">
            <w:pPr>
              <w:pStyle w:val="ConsPlusNormal"/>
            </w:pPr>
          </w:p>
        </w:tc>
        <w:tc>
          <w:tcPr>
            <w:tcW w:w="680" w:type="dxa"/>
          </w:tcPr>
          <w:p w:rsidR="000B131E" w:rsidRDefault="000B131E">
            <w:pPr>
              <w:pStyle w:val="ConsPlusNormal"/>
            </w:pPr>
          </w:p>
        </w:tc>
        <w:tc>
          <w:tcPr>
            <w:tcW w:w="454" w:type="dxa"/>
          </w:tcPr>
          <w:p w:rsidR="000B131E" w:rsidRDefault="000B131E">
            <w:pPr>
              <w:pStyle w:val="ConsPlusNormal"/>
            </w:pPr>
          </w:p>
        </w:tc>
        <w:tc>
          <w:tcPr>
            <w:tcW w:w="680"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456" w:type="dxa"/>
          </w:tcPr>
          <w:p w:rsidR="000B131E" w:rsidRDefault="000B131E">
            <w:pPr>
              <w:pStyle w:val="ConsPlusNormal"/>
            </w:pPr>
          </w:p>
        </w:tc>
        <w:tc>
          <w:tcPr>
            <w:tcW w:w="677" w:type="dxa"/>
          </w:tcPr>
          <w:p w:rsidR="000B131E" w:rsidRDefault="000B131E">
            <w:pPr>
              <w:pStyle w:val="ConsPlusNormal"/>
            </w:pPr>
          </w:p>
        </w:tc>
      </w:tr>
      <w:tr w:rsidR="000B131E">
        <w:tc>
          <w:tcPr>
            <w:tcW w:w="510" w:type="dxa"/>
          </w:tcPr>
          <w:p w:rsidR="000B131E" w:rsidRDefault="000B131E">
            <w:pPr>
              <w:pStyle w:val="ConsPlusNormal"/>
            </w:pPr>
          </w:p>
        </w:tc>
        <w:tc>
          <w:tcPr>
            <w:tcW w:w="510" w:type="dxa"/>
          </w:tcPr>
          <w:p w:rsidR="000B131E" w:rsidRDefault="000B131E">
            <w:pPr>
              <w:pStyle w:val="ConsPlusNormal"/>
            </w:pPr>
          </w:p>
        </w:tc>
        <w:tc>
          <w:tcPr>
            <w:tcW w:w="567" w:type="dxa"/>
          </w:tcPr>
          <w:p w:rsidR="000B131E" w:rsidRDefault="000B131E">
            <w:pPr>
              <w:pStyle w:val="ConsPlusNormal"/>
            </w:pPr>
          </w:p>
        </w:tc>
        <w:tc>
          <w:tcPr>
            <w:tcW w:w="567" w:type="dxa"/>
          </w:tcPr>
          <w:p w:rsidR="000B131E" w:rsidRDefault="000B131E">
            <w:pPr>
              <w:pStyle w:val="ConsPlusNormal"/>
            </w:pPr>
          </w:p>
        </w:tc>
        <w:tc>
          <w:tcPr>
            <w:tcW w:w="528" w:type="dxa"/>
          </w:tcPr>
          <w:p w:rsidR="000B131E" w:rsidRDefault="000B131E">
            <w:pPr>
              <w:pStyle w:val="ConsPlusNormal"/>
            </w:pPr>
          </w:p>
        </w:tc>
        <w:tc>
          <w:tcPr>
            <w:tcW w:w="643" w:type="dxa"/>
          </w:tcPr>
          <w:p w:rsidR="000B131E" w:rsidRDefault="000B131E">
            <w:pPr>
              <w:pStyle w:val="ConsPlusNormal"/>
            </w:pPr>
          </w:p>
        </w:tc>
        <w:tc>
          <w:tcPr>
            <w:tcW w:w="696" w:type="dxa"/>
          </w:tcPr>
          <w:p w:rsidR="000B131E" w:rsidRDefault="000B131E">
            <w:pPr>
              <w:pStyle w:val="ConsPlusNormal"/>
            </w:pPr>
          </w:p>
        </w:tc>
        <w:tc>
          <w:tcPr>
            <w:tcW w:w="454" w:type="dxa"/>
          </w:tcPr>
          <w:p w:rsidR="000B131E" w:rsidRDefault="000B131E">
            <w:pPr>
              <w:pStyle w:val="ConsPlusNormal"/>
            </w:pPr>
          </w:p>
        </w:tc>
        <w:tc>
          <w:tcPr>
            <w:tcW w:w="567" w:type="dxa"/>
          </w:tcPr>
          <w:p w:rsidR="000B131E" w:rsidRDefault="000B131E">
            <w:pPr>
              <w:pStyle w:val="ConsPlusNormal"/>
            </w:pPr>
          </w:p>
        </w:tc>
        <w:tc>
          <w:tcPr>
            <w:tcW w:w="510"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466"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567" w:type="dxa"/>
          </w:tcPr>
          <w:p w:rsidR="000B131E" w:rsidRDefault="000B131E">
            <w:pPr>
              <w:pStyle w:val="ConsPlusNormal"/>
            </w:pPr>
          </w:p>
        </w:tc>
        <w:tc>
          <w:tcPr>
            <w:tcW w:w="454" w:type="dxa"/>
          </w:tcPr>
          <w:p w:rsidR="000B131E" w:rsidRDefault="000B131E">
            <w:pPr>
              <w:pStyle w:val="ConsPlusNormal"/>
            </w:pPr>
          </w:p>
        </w:tc>
        <w:tc>
          <w:tcPr>
            <w:tcW w:w="737" w:type="dxa"/>
          </w:tcPr>
          <w:p w:rsidR="000B131E" w:rsidRDefault="000B131E">
            <w:pPr>
              <w:pStyle w:val="ConsPlusNormal"/>
            </w:pPr>
          </w:p>
        </w:tc>
        <w:tc>
          <w:tcPr>
            <w:tcW w:w="680" w:type="dxa"/>
          </w:tcPr>
          <w:p w:rsidR="000B131E" w:rsidRDefault="000B131E">
            <w:pPr>
              <w:pStyle w:val="ConsPlusNormal"/>
            </w:pPr>
          </w:p>
        </w:tc>
        <w:tc>
          <w:tcPr>
            <w:tcW w:w="454" w:type="dxa"/>
          </w:tcPr>
          <w:p w:rsidR="000B131E" w:rsidRDefault="000B131E">
            <w:pPr>
              <w:pStyle w:val="ConsPlusNormal"/>
            </w:pPr>
          </w:p>
        </w:tc>
        <w:tc>
          <w:tcPr>
            <w:tcW w:w="680"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456" w:type="dxa"/>
          </w:tcPr>
          <w:p w:rsidR="000B131E" w:rsidRDefault="000B131E">
            <w:pPr>
              <w:pStyle w:val="ConsPlusNormal"/>
            </w:pPr>
          </w:p>
        </w:tc>
        <w:tc>
          <w:tcPr>
            <w:tcW w:w="677" w:type="dxa"/>
          </w:tcPr>
          <w:p w:rsidR="000B131E" w:rsidRDefault="000B131E">
            <w:pPr>
              <w:pStyle w:val="ConsPlusNormal"/>
            </w:pPr>
          </w:p>
        </w:tc>
      </w:tr>
      <w:tr w:rsidR="000B131E">
        <w:tc>
          <w:tcPr>
            <w:tcW w:w="510" w:type="dxa"/>
          </w:tcPr>
          <w:p w:rsidR="000B131E" w:rsidRDefault="000B131E">
            <w:pPr>
              <w:pStyle w:val="ConsPlusNormal"/>
            </w:pPr>
          </w:p>
        </w:tc>
        <w:tc>
          <w:tcPr>
            <w:tcW w:w="510" w:type="dxa"/>
          </w:tcPr>
          <w:p w:rsidR="000B131E" w:rsidRDefault="000B131E">
            <w:pPr>
              <w:pStyle w:val="ConsPlusNormal"/>
            </w:pPr>
          </w:p>
        </w:tc>
        <w:tc>
          <w:tcPr>
            <w:tcW w:w="567" w:type="dxa"/>
          </w:tcPr>
          <w:p w:rsidR="000B131E" w:rsidRDefault="000B131E">
            <w:pPr>
              <w:pStyle w:val="ConsPlusNormal"/>
            </w:pPr>
          </w:p>
        </w:tc>
        <w:tc>
          <w:tcPr>
            <w:tcW w:w="567" w:type="dxa"/>
          </w:tcPr>
          <w:p w:rsidR="000B131E" w:rsidRDefault="000B131E">
            <w:pPr>
              <w:pStyle w:val="ConsPlusNormal"/>
            </w:pPr>
          </w:p>
        </w:tc>
        <w:tc>
          <w:tcPr>
            <w:tcW w:w="528" w:type="dxa"/>
          </w:tcPr>
          <w:p w:rsidR="000B131E" w:rsidRDefault="000B131E">
            <w:pPr>
              <w:pStyle w:val="ConsPlusNormal"/>
            </w:pPr>
          </w:p>
        </w:tc>
        <w:tc>
          <w:tcPr>
            <w:tcW w:w="643" w:type="dxa"/>
          </w:tcPr>
          <w:p w:rsidR="000B131E" w:rsidRDefault="000B131E">
            <w:pPr>
              <w:pStyle w:val="ConsPlusNormal"/>
            </w:pPr>
          </w:p>
        </w:tc>
        <w:tc>
          <w:tcPr>
            <w:tcW w:w="696" w:type="dxa"/>
          </w:tcPr>
          <w:p w:rsidR="000B131E" w:rsidRDefault="000B131E">
            <w:pPr>
              <w:pStyle w:val="ConsPlusNormal"/>
            </w:pPr>
          </w:p>
        </w:tc>
        <w:tc>
          <w:tcPr>
            <w:tcW w:w="454" w:type="dxa"/>
          </w:tcPr>
          <w:p w:rsidR="000B131E" w:rsidRDefault="000B131E">
            <w:pPr>
              <w:pStyle w:val="ConsPlusNormal"/>
            </w:pPr>
          </w:p>
        </w:tc>
        <w:tc>
          <w:tcPr>
            <w:tcW w:w="567" w:type="dxa"/>
          </w:tcPr>
          <w:p w:rsidR="000B131E" w:rsidRDefault="000B131E">
            <w:pPr>
              <w:pStyle w:val="ConsPlusNormal"/>
            </w:pPr>
          </w:p>
        </w:tc>
        <w:tc>
          <w:tcPr>
            <w:tcW w:w="510"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466"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567" w:type="dxa"/>
          </w:tcPr>
          <w:p w:rsidR="000B131E" w:rsidRDefault="000B131E">
            <w:pPr>
              <w:pStyle w:val="ConsPlusNormal"/>
            </w:pPr>
          </w:p>
        </w:tc>
        <w:tc>
          <w:tcPr>
            <w:tcW w:w="454" w:type="dxa"/>
          </w:tcPr>
          <w:p w:rsidR="000B131E" w:rsidRDefault="000B131E">
            <w:pPr>
              <w:pStyle w:val="ConsPlusNormal"/>
            </w:pPr>
          </w:p>
        </w:tc>
        <w:tc>
          <w:tcPr>
            <w:tcW w:w="737" w:type="dxa"/>
          </w:tcPr>
          <w:p w:rsidR="000B131E" w:rsidRDefault="000B131E">
            <w:pPr>
              <w:pStyle w:val="ConsPlusNormal"/>
            </w:pPr>
          </w:p>
        </w:tc>
        <w:tc>
          <w:tcPr>
            <w:tcW w:w="680" w:type="dxa"/>
          </w:tcPr>
          <w:p w:rsidR="000B131E" w:rsidRDefault="000B131E">
            <w:pPr>
              <w:pStyle w:val="ConsPlusNormal"/>
            </w:pPr>
          </w:p>
        </w:tc>
        <w:tc>
          <w:tcPr>
            <w:tcW w:w="454" w:type="dxa"/>
          </w:tcPr>
          <w:p w:rsidR="000B131E" w:rsidRDefault="000B131E">
            <w:pPr>
              <w:pStyle w:val="ConsPlusNormal"/>
            </w:pPr>
          </w:p>
        </w:tc>
        <w:tc>
          <w:tcPr>
            <w:tcW w:w="680" w:type="dxa"/>
          </w:tcPr>
          <w:p w:rsidR="000B131E" w:rsidRDefault="000B131E">
            <w:pPr>
              <w:pStyle w:val="ConsPlusNormal"/>
            </w:pPr>
          </w:p>
        </w:tc>
        <w:tc>
          <w:tcPr>
            <w:tcW w:w="624" w:type="dxa"/>
          </w:tcPr>
          <w:p w:rsidR="000B131E" w:rsidRDefault="000B131E">
            <w:pPr>
              <w:pStyle w:val="ConsPlusNormal"/>
            </w:pPr>
          </w:p>
        </w:tc>
        <w:tc>
          <w:tcPr>
            <w:tcW w:w="567" w:type="dxa"/>
          </w:tcPr>
          <w:p w:rsidR="000B131E" w:rsidRDefault="000B131E">
            <w:pPr>
              <w:pStyle w:val="ConsPlusNormal"/>
            </w:pPr>
          </w:p>
        </w:tc>
        <w:tc>
          <w:tcPr>
            <w:tcW w:w="456" w:type="dxa"/>
          </w:tcPr>
          <w:p w:rsidR="000B131E" w:rsidRDefault="000B131E">
            <w:pPr>
              <w:pStyle w:val="ConsPlusNormal"/>
            </w:pPr>
          </w:p>
        </w:tc>
        <w:tc>
          <w:tcPr>
            <w:tcW w:w="677" w:type="dxa"/>
          </w:tcPr>
          <w:p w:rsidR="000B131E" w:rsidRDefault="000B131E">
            <w:pPr>
              <w:pStyle w:val="ConsPlusNormal"/>
            </w:pPr>
          </w:p>
        </w:tc>
      </w:tr>
    </w:tbl>
    <w:p w:rsidR="000B131E" w:rsidRDefault="000B131E">
      <w:pPr>
        <w:pStyle w:val="ConsPlusNormal"/>
        <w:ind w:firstLine="540"/>
        <w:jc w:val="both"/>
      </w:pPr>
    </w:p>
    <w:p w:rsidR="000B131E" w:rsidRDefault="000B131E">
      <w:pPr>
        <w:pStyle w:val="ConsPlusNormal"/>
        <w:ind w:firstLine="540"/>
        <w:jc w:val="both"/>
      </w:pPr>
    </w:p>
    <w:p w:rsidR="000B131E" w:rsidRDefault="000B131E">
      <w:pPr>
        <w:pStyle w:val="ConsPlusNormal"/>
        <w:pBdr>
          <w:top w:val="single" w:sz="6" w:space="0" w:color="auto"/>
        </w:pBdr>
        <w:spacing w:before="100" w:after="100"/>
        <w:jc w:val="both"/>
        <w:rPr>
          <w:sz w:val="2"/>
          <w:szCs w:val="2"/>
        </w:rPr>
      </w:pPr>
    </w:p>
    <w:p w:rsidR="00430C15" w:rsidRDefault="00430C15"/>
    <w:sectPr w:rsidR="00430C15" w:rsidSect="000E478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31E"/>
    <w:rsid w:val="000B131E"/>
    <w:rsid w:val="00430C15"/>
    <w:rsid w:val="00B00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3B5A75-B5CD-49D5-BC2C-E9630268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13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13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13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B131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B669D40FC51E8FE78AB2CF2D62A28487883EA326AC21496C5B3B0ADE306EF343CF4FB385E2F00FP5zB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0AB669D40FC51E8FE78ABBD62A62A28482803EA320A621496C5B3B0ADE306EF343CF4FB385EBF808P5z9G" TargetMode="External"/><Relationship Id="rId12" Type="http://schemas.openxmlformats.org/officeDocument/2006/relationships/hyperlink" Target="consultantplus://offline/ref=0AB669D40FC51E8FE78AB2CF2D62A28487883FA724AC21496C5B3B0ADE306EF343CF4FB385EBF80AP5zC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AB669D40FC51E8FE78AB2CF2D62A28487883EA326AC21496C5B3B0ADE306EF343CF4FB385E2F00FP5z8G" TargetMode="External"/><Relationship Id="rId11" Type="http://schemas.openxmlformats.org/officeDocument/2006/relationships/hyperlink" Target="consultantplus://offline/ref=0AB669D40FC51E8FE78AB2CF2D62A28487883EA326AC21496C5B3B0ADE306EF343CF4FPBzAG" TargetMode="External"/><Relationship Id="rId5" Type="http://schemas.openxmlformats.org/officeDocument/2006/relationships/hyperlink" Target="consultantplus://offline/ref=0AB669D40FC51E8FE78ABBD62A62A28482803EA320A621496C5B3B0ADE306EF343CF4FB385EBF809P5zFG" TargetMode="External"/><Relationship Id="rId10" Type="http://schemas.openxmlformats.org/officeDocument/2006/relationships/hyperlink" Target="consultantplus://offline/ref=0AB669D40FC51E8FE78AB2CF2D62A28487883FA724AC21496C5B3B0ADE306EF343CF4FB385E8FC0BP5z9G" TargetMode="External"/><Relationship Id="rId4" Type="http://schemas.openxmlformats.org/officeDocument/2006/relationships/hyperlink" Target="consultantplus://offline/ref=0AB669D40FC51E8FE78ABBD62A62A28482803CAE27A021496C5B3B0ADE306EF343CF4FB385EBF809P5zFG" TargetMode="External"/><Relationship Id="rId9" Type="http://schemas.openxmlformats.org/officeDocument/2006/relationships/hyperlink" Target="consultantplus://offline/ref=0AB669D40FC51E8FE78AB2CF2D62A28487883EA326AC21496C5B3B0ADE306EF343CF4FB385E2F00FP5zF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5140</Words>
  <Characters>29299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Кривенко Ольга Андреевна</dc:creator>
  <cp:keywords/>
  <dc:description/>
  <cp:lastModifiedBy>Кривенко Ольга Андреевна</cp:lastModifiedBy>
  <cp:revision>2</cp:revision>
  <dcterms:created xsi:type="dcterms:W3CDTF">2018-01-18T06:51:00Z</dcterms:created>
  <dcterms:modified xsi:type="dcterms:W3CDTF">2018-01-18T07:46:00Z</dcterms:modified>
</cp:coreProperties>
</file>