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1DF" w:rsidRDefault="00BD61D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D61DF" w:rsidRDefault="00BD61DF">
      <w:pPr>
        <w:pStyle w:val="ConsPlusNormal"/>
        <w:jc w:val="both"/>
        <w:outlineLvl w:val="0"/>
      </w:pPr>
    </w:p>
    <w:p w:rsidR="00BD61DF" w:rsidRDefault="00BD61DF">
      <w:pPr>
        <w:pStyle w:val="ConsPlusTitle"/>
        <w:jc w:val="center"/>
      </w:pPr>
      <w:r>
        <w:t>МИНИСТЕРСТВО ФИНАНСОВ РОССИЙСКОЙ ФЕДЕРАЦИИ</w:t>
      </w:r>
    </w:p>
    <w:p w:rsidR="00BD61DF" w:rsidRDefault="00BD61DF">
      <w:pPr>
        <w:pStyle w:val="ConsPlusTitle"/>
        <w:jc w:val="center"/>
      </w:pPr>
    </w:p>
    <w:p w:rsidR="00BD61DF" w:rsidRDefault="00BD61DF">
      <w:pPr>
        <w:pStyle w:val="ConsPlusTitle"/>
        <w:jc w:val="center"/>
      </w:pPr>
      <w:r>
        <w:t>ФЕДЕРАЛЬНОЕ КАЗНАЧЕЙСТВО</w:t>
      </w:r>
    </w:p>
    <w:p w:rsidR="00BD61DF" w:rsidRDefault="00BD61DF">
      <w:pPr>
        <w:pStyle w:val="ConsPlusTitle"/>
        <w:jc w:val="center"/>
      </w:pPr>
    </w:p>
    <w:p w:rsidR="00BD61DF" w:rsidRDefault="00BD61DF">
      <w:pPr>
        <w:pStyle w:val="ConsPlusTitle"/>
        <w:jc w:val="center"/>
      </w:pPr>
      <w:r>
        <w:t>ПИСЬМО</w:t>
      </w:r>
    </w:p>
    <w:p w:rsidR="00BD61DF" w:rsidRDefault="00BD61DF">
      <w:pPr>
        <w:pStyle w:val="ConsPlusTitle"/>
        <w:jc w:val="center"/>
      </w:pPr>
      <w:r>
        <w:t>от 14 июня 2017 г. N 07-04-05/22-482</w:t>
      </w:r>
    </w:p>
    <w:p w:rsidR="00BD61DF" w:rsidRDefault="00BD61DF">
      <w:pPr>
        <w:pStyle w:val="ConsPlusTitle"/>
        <w:jc w:val="center"/>
      </w:pPr>
    </w:p>
    <w:p w:rsidR="00BD61DF" w:rsidRDefault="00BD61DF">
      <w:pPr>
        <w:pStyle w:val="ConsPlusTitle"/>
        <w:jc w:val="center"/>
      </w:pPr>
      <w:r>
        <w:t>О КАЗНАЧЕЙСКОМ СОПРОВОЖДЕНИИ</w:t>
      </w:r>
    </w:p>
    <w:p w:rsidR="00BD61DF" w:rsidRDefault="00BD61DF">
      <w:pPr>
        <w:pStyle w:val="ConsPlusNormal"/>
        <w:jc w:val="both"/>
      </w:pPr>
    </w:p>
    <w:p w:rsidR="00BD61DF" w:rsidRDefault="00BD61DF">
      <w:pPr>
        <w:pStyle w:val="ConsPlusNormal"/>
        <w:ind w:firstLine="540"/>
        <w:jc w:val="both"/>
      </w:pPr>
      <w:r>
        <w:t>Федеральное казначейство в целях разъяснения вопросов, возникающих при открытии лицевых счетов для учета операций неучастника бюджетного процесса (далее - лицевой счет) при казначейском сопровождении средств, в том числе государственного оборонного заказа, сообщает следующее.</w:t>
      </w:r>
    </w:p>
    <w:p w:rsidR="00BD61DF" w:rsidRDefault="00BD61DF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5</w:t>
        </w:r>
      </w:hyperlink>
      <w:r>
        <w:t xml:space="preserve"> Правил казначейского сопровождения средств в валюте Российской Федерации в случаях, предусмотренных Федеральным законом "О федеральном бюджете на 2017 год и на плановый период 2018 и 2019 годов", утвержденных постановлением Правительства Российской Федерации от 30 декабря 2016 г. N 1552, основанием для открытия головному исполнителю (исполнителю) по государственному контракту (контракту) лицевого счета является государственный контракт (контракт), в соответствии с которым предоставляются средства.</w:t>
      </w:r>
    </w:p>
    <w:p w:rsidR="00BD61DF" w:rsidRDefault="00BD61DF">
      <w:pPr>
        <w:pStyle w:val="ConsPlusNormal"/>
        <w:spacing w:before="220"/>
        <w:ind w:firstLine="540"/>
        <w:jc w:val="both"/>
      </w:pPr>
      <w:r>
        <w:t xml:space="preserve">Для открытия лицевого счета в территориальном органе Федерального казначейства головной исполнитель (исполнитель) наряду с документами, предусмотренными </w:t>
      </w:r>
      <w:hyperlink r:id="rId6" w:history="1">
        <w:r>
          <w:rPr>
            <w:color w:val="0000FF"/>
          </w:rPr>
          <w:t>пунктом 13</w:t>
        </w:r>
      </w:hyperlink>
      <w:r>
        <w:t xml:space="preserve"> Порядка открытия и ведения лицевых счетов территориальными органами Федерального казначейства, утвержденного приказом Федерального казначейства от 17 октября 2016 г. N 21н, представляет копию государственного контракта (контракта), заключенного в электронном виде или на бумажном носителе.</w:t>
      </w:r>
    </w:p>
    <w:p w:rsidR="00BD61DF" w:rsidRDefault="00BD61DF">
      <w:pPr>
        <w:pStyle w:val="ConsPlusNormal"/>
        <w:spacing w:before="220"/>
        <w:ind w:firstLine="540"/>
        <w:jc w:val="both"/>
      </w:pPr>
      <w:r>
        <w:t>В случае заключения государственного контракта (контракта) в электронном виде головной исполнитель (исполнитель) представляет его копию с приложением информации, содержащей сведения об электронных подписях уполномоченных лиц.</w:t>
      </w:r>
    </w:p>
    <w:p w:rsidR="00BD61DF" w:rsidRDefault="00BD61DF">
      <w:pPr>
        <w:pStyle w:val="ConsPlusNormal"/>
        <w:spacing w:before="220"/>
        <w:ind w:firstLine="540"/>
        <w:jc w:val="both"/>
      </w:pPr>
      <w:r>
        <w:t>При этом дополнительного заверения (нотариального или государственным заказчиком) копии государственного контракта (контракта), заключенного в электронном виде, не требуется.</w:t>
      </w:r>
    </w:p>
    <w:p w:rsidR="00BD61DF" w:rsidRDefault="00BD61DF">
      <w:pPr>
        <w:pStyle w:val="ConsPlusNormal"/>
        <w:spacing w:before="220"/>
        <w:ind w:firstLine="540"/>
        <w:jc w:val="both"/>
      </w:pPr>
      <w:r>
        <w:t>В дополнение Федеральное казначейство сообщает, что на одном лицевом счете учитываются средства, поступающие в рамках исполнения одного государственного контракта (контракта).</w:t>
      </w:r>
    </w:p>
    <w:p w:rsidR="00BD61DF" w:rsidRDefault="00BD61DF">
      <w:pPr>
        <w:pStyle w:val="ConsPlusNormal"/>
        <w:spacing w:before="220"/>
        <w:ind w:firstLine="540"/>
        <w:jc w:val="both"/>
      </w:pPr>
      <w:r>
        <w:t>Кроме того, головной исполнитель (исполнитель) может открыть лицевой счет в территориальном органе Федерального казначейства, без привязки к его юридическому адресу.</w:t>
      </w:r>
    </w:p>
    <w:p w:rsidR="00BD61DF" w:rsidRDefault="00BD61DF">
      <w:pPr>
        <w:pStyle w:val="ConsPlusNormal"/>
        <w:jc w:val="both"/>
      </w:pPr>
    </w:p>
    <w:p w:rsidR="00BD61DF" w:rsidRDefault="00BD61DF">
      <w:pPr>
        <w:pStyle w:val="ConsPlusNormal"/>
        <w:jc w:val="right"/>
      </w:pPr>
      <w:r>
        <w:t>Р.Е.АРТЮХИН</w:t>
      </w:r>
    </w:p>
    <w:p w:rsidR="00BD61DF" w:rsidRDefault="00BD61DF">
      <w:pPr>
        <w:pStyle w:val="ConsPlusNormal"/>
        <w:jc w:val="both"/>
      </w:pPr>
    </w:p>
    <w:p w:rsidR="00BD61DF" w:rsidRDefault="00BD61DF">
      <w:pPr>
        <w:pStyle w:val="ConsPlusNormal"/>
        <w:jc w:val="both"/>
      </w:pPr>
    </w:p>
    <w:p w:rsidR="00BD61DF" w:rsidRDefault="00BD61D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0299B" w:rsidRDefault="00B0299B">
      <w:bookmarkStart w:id="0" w:name="_GoBack"/>
      <w:bookmarkEnd w:id="0"/>
    </w:p>
    <w:sectPr w:rsidR="00B0299B" w:rsidSect="000A3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1DF"/>
    <w:rsid w:val="00B0299B"/>
    <w:rsid w:val="00BD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05124A-5ABB-463B-A5D2-42ED1C6C6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61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61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D61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C4DFC23DB1724D6C15A7B487F7C410232EB486E2B155953C0E85B94CB788DD227EE55A5FB1A791s4J2I" TargetMode="External"/><Relationship Id="rId5" Type="http://schemas.openxmlformats.org/officeDocument/2006/relationships/hyperlink" Target="consultantplus://offline/ref=BDC4DFC23DB1724D6C15A7B487F7C410232FB580ECB655953C0E85B94CB788DD227EE55A5FB1A693s4J8I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Арина Евгеньевна</dc:creator>
  <cp:keywords/>
  <dc:description/>
  <cp:lastModifiedBy>Бородина Арина Евгеньевна</cp:lastModifiedBy>
  <cp:revision>1</cp:revision>
  <dcterms:created xsi:type="dcterms:W3CDTF">2018-02-28T08:09:00Z</dcterms:created>
  <dcterms:modified xsi:type="dcterms:W3CDTF">2018-02-28T08:10:00Z</dcterms:modified>
</cp:coreProperties>
</file>