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CF6A1A" w:rsidTr="00CF6A1A">
        <w:tc>
          <w:tcPr>
            <w:tcW w:w="10485" w:type="dxa"/>
          </w:tcPr>
          <w:p w:rsidR="005F730F" w:rsidRDefault="005F730F" w:rsidP="005F730F">
            <w:pPr>
              <w:tabs>
                <w:tab w:val="left" w:pos="47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5F730F" w:rsidRPr="005F730F" w:rsidRDefault="005F730F" w:rsidP="005F730F">
            <w:pPr>
              <w:tabs>
                <w:tab w:val="left" w:pos="47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</w:t>
            </w:r>
            <w:r w:rsidR="00CF6A1A" w:rsidRPr="005F730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ланы мероприятий («дорожные карты»), обеспечившие казначейское обслуживание </w:t>
            </w:r>
          </w:p>
          <w:p w:rsidR="00CF6A1A" w:rsidRDefault="00CF6A1A" w:rsidP="005F730F">
            <w:pPr>
              <w:tabs>
                <w:tab w:val="left" w:pos="47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F730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 Республике Крым в 2014 году</w:t>
            </w:r>
          </w:p>
          <w:p w:rsidR="005F730F" w:rsidRPr="00CF6A1A" w:rsidRDefault="005F730F" w:rsidP="005F730F">
            <w:pPr>
              <w:tabs>
                <w:tab w:val="left" w:pos="474"/>
              </w:tabs>
              <w:ind w:firstLine="85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CF6A1A" w:rsidTr="00CF6A1A">
        <w:tc>
          <w:tcPr>
            <w:tcW w:w="10485" w:type="dxa"/>
          </w:tcPr>
          <w:p w:rsidR="00CF6A1A" w:rsidRPr="00CF6A1A" w:rsidRDefault="00CF6A1A" w:rsidP="005F730F">
            <w:pPr>
              <w:tabs>
                <w:tab w:val="left" w:pos="474"/>
              </w:tabs>
              <w:ind w:right="34" w:firstLine="596"/>
              <w:jc w:val="both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5F730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24 </w:t>
            </w:r>
            <w:r w:rsidRPr="005F73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марта 2014 г.</w:t>
            </w:r>
            <w:r w:rsidRPr="00CF6A1A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 xml:space="preserve">  </w:t>
            </w:r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Приказом Федерального казначейства от 24 марта 2014 г. № 43 в соответствии с приказом Министерства финансов Российской Федерации от 06 июня 2011 г. № 67н «Об утверждении Типового положения об Управлении Федерального казначейства по субъекту Российской Федерации (субъектам Российской Федерации, находящимся в границах федерального округа)» (в редакции приказа Министерства финансов Российской Федерации от 30 сентября 2013 г. № 99н) утверждено Положение об Управлении Федерального казначейства по Республике Крым, которым установлено, что УФК по Республике Крым является территориальным органом Федерального казначейства, созданным в границах Республики Крым, и находится в непосредственном подчинении Федерального казначейства. </w:t>
            </w:r>
          </w:p>
          <w:p w:rsidR="00CF6A1A" w:rsidRPr="00CF6A1A" w:rsidRDefault="00CF6A1A" w:rsidP="005F730F">
            <w:pPr>
              <w:tabs>
                <w:tab w:val="left" w:pos="474"/>
              </w:tabs>
              <w:ind w:firstLine="596"/>
              <w:jc w:val="both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Министром финансов Российской Федерации А.Г.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Силуановым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разработан План мероприятий («дорожная карта») Министерства финансов Российской Федерации по интеграции бюджетной системы Республики Крым и города федерального значения Севастополя в бюджетную систему Российской Федерации. </w:t>
            </w:r>
          </w:p>
        </w:tc>
      </w:tr>
      <w:tr w:rsidR="00CF6A1A" w:rsidTr="00CF6A1A">
        <w:tc>
          <w:tcPr>
            <w:tcW w:w="10485" w:type="dxa"/>
          </w:tcPr>
          <w:p w:rsidR="00CF6A1A" w:rsidRPr="00CF6A1A" w:rsidRDefault="00CF6A1A" w:rsidP="005F730F">
            <w:pPr>
              <w:tabs>
                <w:tab w:val="left" w:pos="474"/>
              </w:tabs>
              <w:ind w:firstLine="596"/>
              <w:jc w:val="both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5F730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27 </w:t>
            </w:r>
            <w:r w:rsidRPr="005F73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марта 2014 г.</w:t>
            </w:r>
            <w:r w:rsidRPr="00CF6A1A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 xml:space="preserve"> </w:t>
            </w:r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Руководителем Федерального казначейства Р.Е.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Артюхиным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утвержден План организационно – штатных мероприятий по созданию в Республике Крым и г.</w:t>
            </w:r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val="en-US" w:eastAsia="ru-RU"/>
              </w:rPr>
              <w:t> </w:t>
            </w:r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Севастополь территориальных органов Федерального казначейства.</w:t>
            </w:r>
          </w:p>
        </w:tc>
      </w:tr>
      <w:tr w:rsidR="00CF6A1A" w:rsidTr="00CF6A1A">
        <w:tc>
          <w:tcPr>
            <w:tcW w:w="10485" w:type="dxa"/>
          </w:tcPr>
          <w:p w:rsidR="00CF6A1A" w:rsidRPr="00CF6A1A" w:rsidRDefault="00CF6A1A" w:rsidP="005F730F">
            <w:pPr>
              <w:tabs>
                <w:tab w:val="left" w:pos="474"/>
              </w:tabs>
              <w:ind w:firstLine="596"/>
              <w:jc w:val="both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5F730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09 </w:t>
            </w:r>
            <w:r w:rsidRPr="005F73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апреля 2014 г.</w:t>
            </w:r>
            <w:r w:rsidRPr="00CF6A1A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 xml:space="preserve"> </w:t>
            </w:r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Руководителем Федерального казначейства Р.Е.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Артюхиным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и Председателем Правления Пенсионного фонда Российской Федерации А.В. Дроздовым утвержден План мероприятий («дорожная карта») «Перевод на кассовое обслуживание бюджета Пенсионного фонда Российской Федерации на территории Республики Крым и города федерального значения Севастополя».</w:t>
            </w:r>
          </w:p>
        </w:tc>
      </w:tr>
      <w:tr w:rsidR="00CF6A1A" w:rsidTr="00CF6A1A">
        <w:tc>
          <w:tcPr>
            <w:tcW w:w="10485" w:type="dxa"/>
          </w:tcPr>
          <w:p w:rsidR="00CF6A1A" w:rsidRPr="00CF6A1A" w:rsidRDefault="00CF6A1A" w:rsidP="005F730F">
            <w:pPr>
              <w:tabs>
                <w:tab w:val="left" w:pos="474"/>
              </w:tabs>
              <w:ind w:firstLine="596"/>
              <w:jc w:val="both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5F730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10 </w:t>
            </w:r>
            <w:r w:rsidRPr="005F73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апреля 2014 г.</w:t>
            </w:r>
            <w:r w:rsidRPr="00CF6A1A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 xml:space="preserve"> </w:t>
            </w:r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Руководителем Федерального казначейства Р.Е.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Артюхиным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и Председателем Фонда социального страхования Российской Федерации А.С. 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Кигимом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утвержден План мероприятий («дорожная карта») «Перевод на кассовое обслуживание бюджета Фонда социального страхования Российской Федерации на территории Республики Крым и города федерального значения Севастополя территориальными органами Федерального казначейства».</w:t>
            </w:r>
          </w:p>
        </w:tc>
      </w:tr>
      <w:tr w:rsidR="00CF6A1A" w:rsidTr="00CF6A1A">
        <w:tc>
          <w:tcPr>
            <w:tcW w:w="10485" w:type="dxa"/>
          </w:tcPr>
          <w:p w:rsidR="00CF6A1A" w:rsidRPr="00CF6A1A" w:rsidRDefault="00CF6A1A" w:rsidP="005F730F">
            <w:pPr>
              <w:tabs>
                <w:tab w:val="left" w:pos="474"/>
              </w:tabs>
              <w:ind w:firstLine="596"/>
              <w:jc w:val="both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5F730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14 </w:t>
            </w:r>
            <w:r w:rsidRPr="005F73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апреля 2014 г.</w:t>
            </w:r>
            <w:r w:rsidRPr="00CF6A1A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 xml:space="preserve">  </w:t>
            </w:r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Министром финансов Российской Федерации А.Г.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Силуановым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утвержден План мероприятий («дорожная карта») Министерства финансов Российской Федерации по интеграции бюджетной системы Республики Крым и города федерального значения Севастополя в бюджетную систему Российской Федерации с приложенным к нему Планом мероприятий органов государственной власти Республики Крым города федерального значения Севастополя в бюджетную систему Российской Федерации.</w:t>
            </w:r>
          </w:p>
        </w:tc>
      </w:tr>
      <w:tr w:rsidR="00CF6A1A" w:rsidTr="00CF6A1A">
        <w:tc>
          <w:tcPr>
            <w:tcW w:w="10485" w:type="dxa"/>
          </w:tcPr>
          <w:p w:rsidR="00CF6A1A" w:rsidRPr="00CF6A1A" w:rsidRDefault="00CF6A1A" w:rsidP="005F730F">
            <w:pPr>
              <w:tabs>
                <w:tab w:val="left" w:pos="474"/>
              </w:tabs>
              <w:ind w:firstLine="596"/>
              <w:jc w:val="both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5F730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24 </w:t>
            </w:r>
            <w:r w:rsidRPr="005F73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апреля 2014 г.</w:t>
            </w:r>
            <w:r w:rsidRPr="00CF6A1A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 xml:space="preserve"> </w:t>
            </w:r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Первым заместителем Министра финансов Российской Федерации Т.Г. Нестеренко по согласованию с </w:t>
            </w:r>
            <w:proofErr w:type="spellStart"/>
            <w:proofErr w:type="gram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Минрегионом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 России</w:t>
            </w:r>
            <w:proofErr w:type="gram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, Министерством Российской Федерации по делам Крыма, органами исполнительной власти Республики Крым и г. Севастополя утвержден План мероприятий («дорожная карта») по интеграции бюджетной системы Республики Крым и города федерального значения Севастополя в бюджетную систему Российской Федерации.</w:t>
            </w:r>
          </w:p>
        </w:tc>
      </w:tr>
      <w:tr w:rsidR="00CF6A1A" w:rsidTr="00CF6A1A">
        <w:tc>
          <w:tcPr>
            <w:tcW w:w="10485" w:type="dxa"/>
          </w:tcPr>
          <w:p w:rsidR="00CF6A1A" w:rsidRPr="00CF6A1A" w:rsidRDefault="00CF6A1A" w:rsidP="005F730F">
            <w:pPr>
              <w:tabs>
                <w:tab w:val="left" w:pos="474"/>
              </w:tabs>
              <w:ind w:firstLine="596"/>
              <w:jc w:val="both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5F73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 июня 2014 г.</w:t>
            </w:r>
            <w:r w:rsidRPr="00CF6A1A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 xml:space="preserve"> </w:t>
            </w:r>
            <w:r w:rsidRPr="00CF6A1A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Руководителем Федерального казначейства Р.Е. </w:t>
            </w:r>
            <w:proofErr w:type="spellStart"/>
            <w:r w:rsidRPr="00CF6A1A">
              <w:rPr>
                <w:rFonts w:ascii="Times New Roman" w:hAnsi="Times New Roman" w:cs="Times New Roman"/>
                <w:i/>
                <w:sz w:val="19"/>
                <w:szCs w:val="19"/>
              </w:rPr>
              <w:t>Артюхин</w:t>
            </w:r>
            <w:r w:rsidR="007E55FC">
              <w:rPr>
                <w:rFonts w:ascii="Times New Roman" w:hAnsi="Times New Roman" w:cs="Times New Roman"/>
                <w:i/>
                <w:sz w:val="19"/>
                <w:szCs w:val="19"/>
              </w:rPr>
              <w:t>ым</w:t>
            </w:r>
            <w:proofErr w:type="spellEnd"/>
            <w:r w:rsidRPr="00CF6A1A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</w:t>
            </w:r>
            <w:proofErr w:type="gramStart"/>
            <w:r w:rsidRPr="00CF6A1A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и  </w:t>
            </w:r>
            <w:proofErr w:type="spellStart"/>
            <w:r w:rsidRPr="00CF6A1A">
              <w:rPr>
                <w:rFonts w:ascii="Times New Roman" w:hAnsi="Times New Roman" w:cs="Times New Roman"/>
                <w:i/>
                <w:sz w:val="19"/>
                <w:szCs w:val="19"/>
              </w:rPr>
              <w:t>и.о</w:t>
            </w:r>
            <w:proofErr w:type="spellEnd"/>
            <w:r w:rsidRPr="00CF6A1A">
              <w:rPr>
                <w:rFonts w:ascii="Times New Roman" w:hAnsi="Times New Roman" w:cs="Times New Roman"/>
                <w:i/>
                <w:sz w:val="19"/>
                <w:szCs w:val="19"/>
              </w:rPr>
              <w:t>.</w:t>
            </w:r>
            <w:proofErr w:type="gramEnd"/>
            <w:r w:rsidRPr="00CF6A1A">
              <w:rPr>
                <w:rFonts w:ascii="Times New Roman" w:hAnsi="Times New Roman" w:cs="Times New Roman"/>
                <w:i/>
                <w:sz w:val="19"/>
                <w:szCs w:val="19"/>
              </w:rPr>
              <w:t xml:space="preserve"> Главы Республики Крым – Председателем Совета министров Республики Крым С.В. Аксеновым </w:t>
            </w:r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утвержден План мероприятий («дорожная карта») «Перевод на кассовое обслуживание исполнения бюджета Республики Крым (м</w:t>
            </w:r>
            <w:bookmarkStart w:id="0" w:name="_GoBack"/>
            <w:bookmarkEnd w:id="0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естных бюджетов Республики Крым) Управлением Федерального казначейства по Республике Крым».</w:t>
            </w:r>
          </w:p>
        </w:tc>
      </w:tr>
      <w:tr w:rsidR="00CF6A1A" w:rsidTr="00CF6A1A">
        <w:tc>
          <w:tcPr>
            <w:tcW w:w="10485" w:type="dxa"/>
          </w:tcPr>
          <w:p w:rsidR="00CF6A1A" w:rsidRPr="00CF6A1A" w:rsidRDefault="00CF6A1A" w:rsidP="005F730F">
            <w:pPr>
              <w:tabs>
                <w:tab w:val="left" w:pos="474"/>
              </w:tabs>
              <w:ind w:firstLine="596"/>
              <w:jc w:val="both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5F730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24 июня </w:t>
            </w:r>
            <w:r w:rsidRPr="005F73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2014 г.</w:t>
            </w:r>
            <w:r w:rsidRPr="00CF6A1A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 xml:space="preserve">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Врио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руководителя УФК по Республике Крым А.И. Лукашовым и министром финансов Республики Крым В.П.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Левандовским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утверждены Планы мероприятий («дорожные карты») «Перевод на кассовое обслуживание исполнения бюджета Республики Крым Управлением Федерального казначейства по Республике Крым» и «Перевод на кассовое обслуживание исполнения местных бюджетов Республики Крым Управлением Федерального казначейства по Республике Крым».</w:t>
            </w:r>
          </w:p>
        </w:tc>
      </w:tr>
      <w:tr w:rsidR="00CF6A1A" w:rsidTr="00CF6A1A">
        <w:tc>
          <w:tcPr>
            <w:tcW w:w="10485" w:type="dxa"/>
          </w:tcPr>
          <w:p w:rsidR="00CF6A1A" w:rsidRPr="00CF6A1A" w:rsidRDefault="00CF6A1A" w:rsidP="005F730F">
            <w:pPr>
              <w:tabs>
                <w:tab w:val="left" w:pos="474"/>
              </w:tabs>
              <w:ind w:firstLine="596"/>
              <w:jc w:val="both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5F730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02 июля </w:t>
            </w:r>
            <w:r w:rsidRPr="005F73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2014 г.</w:t>
            </w:r>
            <w:r w:rsidRPr="00CF6A1A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 xml:space="preserve"> </w:t>
            </w:r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Руководителем Федерального казначейства Р.Е.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Артюхиным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,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врио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руководителя УФК по Республике Крым А.И. Лукашовым, министром финансов Республики Крым В.П.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Левандовским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и начальником Казначейской службы Республики Крым Ж.А.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Заевской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утвержден План мероприятий по реализации подпрограммы 2 «Модернизация казначейской службы» Государственной программы Республики Крым «Модернизация финансовой системы Республики Крым на 2014 год».</w:t>
            </w:r>
          </w:p>
          <w:p w:rsidR="00CF6A1A" w:rsidRPr="00CF6A1A" w:rsidRDefault="00CF6A1A" w:rsidP="005F730F">
            <w:pPr>
              <w:tabs>
                <w:tab w:val="left" w:pos="474"/>
              </w:tabs>
              <w:ind w:firstLine="596"/>
              <w:jc w:val="both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Руководителем Федерального казначейства Р.Е.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Артюхиным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,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врио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руководителя УФК по Республике Крым А.И. Лукашовым и начальником Казначейской службы Республики Крым Ж.А.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Заевской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утверждена Дорожная карта по внедрению АСФК в УФК по Республике Крым.</w:t>
            </w:r>
          </w:p>
        </w:tc>
      </w:tr>
      <w:tr w:rsidR="00CF6A1A" w:rsidTr="00CF6A1A">
        <w:tc>
          <w:tcPr>
            <w:tcW w:w="10485" w:type="dxa"/>
          </w:tcPr>
          <w:p w:rsidR="00CF6A1A" w:rsidRPr="00CF6A1A" w:rsidRDefault="00CF6A1A" w:rsidP="005F730F">
            <w:pPr>
              <w:tabs>
                <w:tab w:val="left" w:pos="474"/>
              </w:tabs>
              <w:ind w:firstLine="596"/>
              <w:jc w:val="both"/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</w:pPr>
            <w:r w:rsidRPr="005F730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18 июля </w:t>
            </w:r>
            <w:r w:rsidRPr="005F73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2014 г.</w:t>
            </w:r>
            <w:r w:rsidRPr="00CF6A1A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 xml:space="preserve"> </w:t>
            </w:r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Руководителем Федерального казначейства Р.Е.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Артюхиным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и Председателем Федерального фонда обязательного медицинского </w:t>
            </w:r>
            <w:proofErr w:type="gram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страхования  Н.Н.</w:t>
            </w:r>
            <w:proofErr w:type="gram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Стадченко утвержден План мероприятий «дорожная карта» «Перевод на кассовое обслуживание исполнения бюджетов территориальных фондов обязательного медицинского страхования на территории Республики Крым и города федерального значения Севастополя территориальными органами Федерального казначейства».</w:t>
            </w:r>
          </w:p>
        </w:tc>
      </w:tr>
      <w:tr w:rsidR="00CF6A1A" w:rsidTr="00CF6A1A">
        <w:tc>
          <w:tcPr>
            <w:tcW w:w="10485" w:type="dxa"/>
          </w:tcPr>
          <w:p w:rsidR="00CF6A1A" w:rsidRPr="00CF6A1A" w:rsidRDefault="00CF6A1A" w:rsidP="005F730F">
            <w:pPr>
              <w:tabs>
                <w:tab w:val="left" w:pos="474"/>
              </w:tabs>
              <w:ind w:firstLine="596"/>
              <w:jc w:val="both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5F730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09 </w:t>
            </w:r>
            <w:r w:rsidRPr="005F73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декабря 2014 г.</w:t>
            </w:r>
            <w:r w:rsidRPr="00CF6A1A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 xml:space="preserve"> </w:t>
            </w:r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Руководителем Федерального казначейства Р.Е.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Артюхиным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и Председателем Фонда социального страхования Российской Федерации А.С. 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Кигимом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утвержден План мероприятий («дорожная карта») «Доведение бюджетных данных участникам бюджетного процесса Фонда социального страхования Российской Федерации на 2015 год через территориальные органы Федерального казначейства».</w:t>
            </w:r>
          </w:p>
          <w:p w:rsidR="00CF6A1A" w:rsidRPr="00CF6A1A" w:rsidRDefault="00CF6A1A" w:rsidP="005F730F">
            <w:pPr>
              <w:tabs>
                <w:tab w:val="left" w:pos="474"/>
              </w:tabs>
              <w:ind w:firstLine="596"/>
              <w:jc w:val="both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Руководителем Федерального казначейства Р.Е.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Артюхиным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и Председателем Правления Пенсионного фонда Российской Федерации А.В. Дроздовым утвержден План мероприятий («дорожная карта</w:t>
            </w:r>
            <w:proofErr w:type="gram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»)  «</w:t>
            </w:r>
            <w:proofErr w:type="gram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Доведение бюджетных данных участникам бюджетного процесса Фонда социального страхования Российской Федерации на 2015 год через территориальные органы Федерального казначейства».</w:t>
            </w:r>
          </w:p>
        </w:tc>
      </w:tr>
      <w:tr w:rsidR="00CF6A1A" w:rsidTr="00CF6A1A">
        <w:tc>
          <w:tcPr>
            <w:tcW w:w="10485" w:type="dxa"/>
          </w:tcPr>
          <w:p w:rsidR="00CF6A1A" w:rsidRPr="00CF6A1A" w:rsidRDefault="00CF6A1A" w:rsidP="005F730F">
            <w:pPr>
              <w:tabs>
                <w:tab w:val="left" w:pos="474"/>
              </w:tabs>
              <w:ind w:firstLine="596"/>
              <w:jc w:val="both"/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</w:pPr>
            <w:r w:rsidRPr="005F730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19 </w:t>
            </w:r>
            <w:r w:rsidRPr="005F730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декабря 2014 г.</w:t>
            </w:r>
            <w:r w:rsidRPr="00CF6A1A">
              <w:rPr>
                <w:rFonts w:ascii="Times New Roman" w:hAnsi="Times New Roman" w:cs="Times New Roman"/>
                <w:b/>
                <w:i/>
                <w:sz w:val="19"/>
                <w:szCs w:val="19"/>
              </w:rPr>
              <w:t xml:space="preserve">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Врио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руководителя УФК по Республике Крым Н.Ю. Зиновьевой, первым заместителем министра финансов Республики Крым И.В.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Кивико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и начальником Казначейской службы Республики Крым Ж.А. </w:t>
            </w:r>
            <w:proofErr w:type="spellStart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>Заевской</w:t>
            </w:r>
            <w:proofErr w:type="spellEnd"/>
            <w:r w:rsidRPr="00CF6A1A"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  <w:t xml:space="preserve"> утвержден План мероприятий («дорожная карта») по завершению проведения операций по исполнению бюджета Республики Крым, бюджетов муниципальных образований Республики Крым за 2014 год – в начале 2015 года.</w:t>
            </w:r>
          </w:p>
        </w:tc>
      </w:tr>
    </w:tbl>
    <w:p w:rsidR="00163F81" w:rsidRPr="00163F81" w:rsidRDefault="00163F81" w:rsidP="00032C4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882" w:rsidRPr="00163F81" w:rsidRDefault="003E6882" w:rsidP="003E68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BF4F58" w:rsidRPr="00163F81" w:rsidRDefault="00BF4F58" w:rsidP="00BF4F5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</w:rPr>
      </w:pPr>
    </w:p>
    <w:p w:rsidR="00BF4F58" w:rsidRPr="00163F81" w:rsidRDefault="00BF4F58" w:rsidP="00BF4F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BF4F58" w:rsidRPr="00163F81" w:rsidRDefault="00BF4F58" w:rsidP="00BF4F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BF4F58" w:rsidRPr="00163F81" w:rsidRDefault="00BF4F58" w:rsidP="00BF4F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BF4F58" w:rsidRPr="00163F81" w:rsidRDefault="00BF4F58" w:rsidP="00BF4F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71D0B" w:rsidRDefault="00971D0B" w:rsidP="00971D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163F81" w:rsidRPr="00163F81" w:rsidRDefault="00163F81" w:rsidP="00971D0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BF4F58" w:rsidRPr="00163F81" w:rsidRDefault="00BF4F58" w:rsidP="00BF4F58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:rsidR="00BF4F58" w:rsidRPr="00163F81" w:rsidRDefault="00BF4F58" w:rsidP="003E68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3E6882" w:rsidRPr="00163F81" w:rsidRDefault="003E6882" w:rsidP="00BF4F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F4F58" w:rsidRPr="00163F81" w:rsidRDefault="00BF4F58" w:rsidP="00BF4F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BF4F58" w:rsidRPr="00163F81" w:rsidRDefault="00BF4F58" w:rsidP="003E68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BF4F58" w:rsidRPr="00163F81" w:rsidRDefault="00BF4F58" w:rsidP="00BF4F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BF4F58" w:rsidRPr="00163F81" w:rsidRDefault="00BF4F58" w:rsidP="003E688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BF4F58" w:rsidRPr="00163F81" w:rsidRDefault="00BF4F58" w:rsidP="00BF4F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035DF2" w:rsidRPr="00163F81" w:rsidRDefault="00035DF2" w:rsidP="00035DF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971D0B" w:rsidRPr="00163F81" w:rsidRDefault="00971D0B" w:rsidP="003E6882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</w:rPr>
      </w:pPr>
    </w:p>
    <w:p w:rsidR="00BF4F58" w:rsidRPr="00163F81" w:rsidRDefault="00BF4F58" w:rsidP="00BF4F5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BF4F58" w:rsidRPr="00163F81" w:rsidSect="00CF6A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93052"/>
    <w:multiLevelType w:val="hybridMultilevel"/>
    <w:tmpl w:val="B66CF698"/>
    <w:lvl w:ilvl="0" w:tplc="2034E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C9"/>
    <w:rsid w:val="00011904"/>
    <w:rsid w:val="00032C46"/>
    <w:rsid w:val="00035DF2"/>
    <w:rsid w:val="00042511"/>
    <w:rsid w:val="000E20D2"/>
    <w:rsid w:val="00104FEC"/>
    <w:rsid w:val="00106568"/>
    <w:rsid w:val="00127FAC"/>
    <w:rsid w:val="00163F81"/>
    <w:rsid w:val="002C2ED7"/>
    <w:rsid w:val="002F0745"/>
    <w:rsid w:val="00345449"/>
    <w:rsid w:val="003E220C"/>
    <w:rsid w:val="003E6882"/>
    <w:rsid w:val="003F7A7A"/>
    <w:rsid w:val="00401614"/>
    <w:rsid w:val="004320CD"/>
    <w:rsid w:val="00481B5A"/>
    <w:rsid w:val="004D505F"/>
    <w:rsid w:val="005016C9"/>
    <w:rsid w:val="00516B05"/>
    <w:rsid w:val="00575838"/>
    <w:rsid w:val="005A3ECD"/>
    <w:rsid w:val="005A503D"/>
    <w:rsid w:val="005D4305"/>
    <w:rsid w:val="005F730F"/>
    <w:rsid w:val="006B39F1"/>
    <w:rsid w:val="00761359"/>
    <w:rsid w:val="007C602A"/>
    <w:rsid w:val="007E55FC"/>
    <w:rsid w:val="00914592"/>
    <w:rsid w:val="00924018"/>
    <w:rsid w:val="0092683C"/>
    <w:rsid w:val="00971D0B"/>
    <w:rsid w:val="009A5671"/>
    <w:rsid w:val="009B65A5"/>
    <w:rsid w:val="00A12EBD"/>
    <w:rsid w:val="00A32C68"/>
    <w:rsid w:val="00A53A18"/>
    <w:rsid w:val="00A639B6"/>
    <w:rsid w:val="00AC5DAB"/>
    <w:rsid w:val="00BC7305"/>
    <w:rsid w:val="00BE5699"/>
    <w:rsid w:val="00BE6288"/>
    <w:rsid w:val="00BF4F58"/>
    <w:rsid w:val="00C77558"/>
    <w:rsid w:val="00C80F7C"/>
    <w:rsid w:val="00C82D48"/>
    <w:rsid w:val="00CD3C0F"/>
    <w:rsid w:val="00CF6A1A"/>
    <w:rsid w:val="00D137AB"/>
    <w:rsid w:val="00DD3651"/>
    <w:rsid w:val="00E07B57"/>
    <w:rsid w:val="00E26D2B"/>
    <w:rsid w:val="00E30434"/>
    <w:rsid w:val="00E5196D"/>
    <w:rsid w:val="00E83105"/>
    <w:rsid w:val="00EC6C67"/>
    <w:rsid w:val="00F7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A52A6-1589-4D87-BC34-7F9044D0F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F58"/>
    <w:pPr>
      <w:ind w:left="720"/>
      <w:contextualSpacing/>
    </w:pPr>
  </w:style>
  <w:style w:type="paragraph" w:customStyle="1" w:styleId="ConsPlusTitle">
    <w:name w:val="ConsPlusTitle"/>
    <w:rsid w:val="00BF4F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39"/>
    <w:rsid w:val="00CF6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F6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A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DC8C9-6CB5-415D-AB5A-F19C4DDE9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Елена Владимировна</dc:creator>
  <cp:keywords/>
  <dc:description/>
  <cp:lastModifiedBy>Заевская Жанна Анатольевна</cp:lastModifiedBy>
  <cp:revision>3</cp:revision>
  <cp:lastPrinted>2016-08-30T15:49:00Z</cp:lastPrinted>
  <dcterms:created xsi:type="dcterms:W3CDTF">2017-08-29T10:52:00Z</dcterms:created>
  <dcterms:modified xsi:type="dcterms:W3CDTF">2017-08-30T15:41:00Z</dcterms:modified>
</cp:coreProperties>
</file>